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BDBF" w14:textId="20905CA0" w:rsidR="00CE6727" w:rsidRDefault="009174E2" w:rsidP="005E338B">
      <w:pPr>
        <w:pStyle w:val="QRGText"/>
      </w:pPr>
      <w:r w:rsidRPr="00CE6727">
        <w:rPr>
          <w:rFonts w:ascii="Times New Roman" w:hAnsi="Times New Roman"/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8894" wp14:editId="5019D465">
                <wp:simplePos x="0" y="0"/>
                <wp:positionH relativeFrom="column">
                  <wp:posOffset>2898775</wp:posOffset>
                </wp:positionH>
                <wp:positionV relativeFrom="paragraph">
                  <wp:posOffset>-1097915</wp:posOffset>
                </wp:positionV>
                <wp:extent cx="4147185" cy="520065"/>
                <wp:effectExtent l="0" t="0" r="0" b="1905"/>
                <wp:wrapNone/>
                <wp:docPr id="307" name="Text Box 307" descr="Indigenous Health Data Reporting Roles and Functions in the Data Por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84EC" w14:textId="2FA2F83F" w:rsidR="009174E2" w:rsidRPr="00D22D71" w:rsidRDefault="00371D1D" w:rsidP="009174E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Indigenous Health Data Reporting</w:t>
                            </w:r>
                            <w:r w:rsidR="009174E2" w:rsidRPr="00D22D7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Roles</w:t>
                            </w:r>
                            <w:r w:rsidR="00CE67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Functions</w:t>
                            </w:r>
                            <w:r w:rsidR="00CE67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</w:t>
                            </w:r>
                            <w:r w:rsidR="00C500D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Data </w:t>
                            </w:r>
                            <w:r w:rsidR="00CE67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0889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Indigenous Health Data Reporting Roles and Functions in the Data Portal" style="position:absolute;margin-left:228.25pt;margin-top:-86.45pt;width:326.5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B+AEAAM0DAAAOAAAAZHJzL2Uyb0RvYy54bWysU8tu2zAQvBfoPxC817IMq0kEy0Ga1EWB&#10;9AGk/QCaoiyiJJdd0pbcr++SchyjvRXVgeBqydmd2eHqdrSGHRQGDa7h5WzOmXISWu12Df/+bfPm&#10;mrMQhWuFAacaflSB365fv1oNvlYL6MG0ChmBuFAPvuF9jL4uiiB7ZUWYgVeOkh2gFZFC3BUtioHQ&#10;rSkW8/nbYgBsPYJUIdDfhynJ1xm/65SMX7ouqMhMw6m3mFfM6zatxXol6h0K32t5akP8QxdWaEdF&#10;z1APIgq2R/0XlNUSIUAXZxJsAV2npcociE05/4PNUy+8ylxInODPMoX/Bys/H578V2RxfAcjDTCT&#10;CP4R5I/AHNz3wu3UHSIMvRItFS6TZMXgQ326mqQOdUgg2+ETtDRksY+QgcYObVKFeDJCpwEcz6Kr&#10;MTJJP5fl8qq8rjiTlKvSTKtcQtTPtz2G+EGBZWnTcKShZnRxeAwxdSPq5yOpmIONNiYP1jg2NPym&#10;WlT5wkXG6ki+M9o2/HqevskJieR71+bLUWgz7amAcSfWiehEOY7bkQ4m9ltoj8QfYfIXvQfa9IC/&#10;OBvIWw0PP/cCFWfmoyMNb8rlMpkxB8vqakEBXma2lxnhJEE1PHI2be9jNnDiGvwdab3RWYaXTk69&#10;kmeyOid/J1NexvnUyytc/wYAAP//AwBQSwMEFAAGAAgAAAAhAHq77MvhAAAADQEAAA8AAABkcnMv&#10;ZG93bnJldi54bWxMj8FOwzAMhu9IvENkJG5b0op1tDSdJrSNIzAqzllj2orGqZKsK29PdoKj7U+/&#10;v7/czGZgEzrfW5KQLAUwpMbqnloJ9cd+8QjMB0VaDZZQwg962FS3N6UqtL3QO07H0LIYQr5QEroQ&#10;xoJz33RolF/aESnevqwzKsTRtVw7dYnhZuCpEBk3qqf4oVMjPnfYfB/PRsIYxsP6xb2+bXf7SdSf&#10;hzrt252U93fz9glYwDn8wXDVj+pQRaeTPZP2bJDwsMpWEZWwSNZpDuyKJCLPgJ3iLk8E8Krk/1tU&#10;vwAAAP//AwBQSwECLQAUAAYACAAAACEAtoM4kv4AAADhAQAAEwAAAAAAAAAAAAAAAAAAAAAAW0Nv&#10;bnRlbnRfVHlwZXNdLnhtbFBLAQItABQABgAIAAAAIQA4/SH/1gAAAJQBAAALAAAAAAAAAAAAAAAA&#10;AC8BAABfcmVscy8ucmVsc1BLAQItABQABgAIAAAAIQAWVcUB+AEAAM0DAAAOAAAAAAAAAAAAAAAA&#10;AC4CAABkcnMvZTJvRG9jLnhtbFBLAQItABQABgAIAAAAIQB6u+zL4QAAAA0BAAAPAAAAAAAAAAAA&#10;AAAAAFIEAABkcnMvZG93bnJldi54bWxQSwUGAAAAAAQABADzAAAAYAUAAAAA&#10;" filled="f" stroked="f">
                <v:textbox style="mso-fit-shape-to-text:t">
                  <w:txbxContent>
                    <w:p w14:paraId="65A484EC" w14:textId="2FA2F83F" w:rsidR="009174E2" w:rsidRPr="00D22D71" w:rsidRDefault="00371D1D" w:rsidP="009174E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Indigenous Health Data Reporting</w:t>
                      </w:r>
                      <w:r w:rsidR="009174E2" w:rsidRPr="00D22D7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Roles</w:t>
                      </w:r>
                      <w:r w:rsidR="00CE67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and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Functions</w:t>
                      </w:r>
                      <w:r w:rsidR="00CE67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</w:t>
                      </w:r>
                      <w:r w:rsidR="00C500D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Data </w:t>
                      </w:r>
                      <w:r w:rsidR="00CE67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Portal</w:t>
                      </w:r>
                    </w:p>
                  </w:txbxContent>
                </v:textbox>
              </v:shape>
            </w:pict>
          </mc:Fallback>
        </mc:AlternateContent>
      </w:r>
      <w:r w:rsidR="0042034D">
        <w:t xml:space="preserve">The table below lists </w:t>
      </w:r>
      <w:r w:rsidR="002D4761">
        <w:t xml:space="preserve">the different </w:t>
      </w:r>
      <w:r w:rsidR="00CE6727">
        <w:t xml:space="preserve">roles used in Indigenous </w:t>
      </w:r>
      <w:r w:rsidR="007813F0">
        <w:t>h</w:t>
      </w:r>
      <w:r w:rsidR="00CE6727">
        <w:t xml:space="preserve">ealth </w:t>
      </w:r>
      <w:r w:rsidR="007813F0">
        <w:t>d</w:t>
      </w:r>
      <w:r w:rsidR="00CE6727">
        <w:t xml:space="preserve">ata </w:t>
      </w:r>
      <w:r w:rsidR="007813F0">
        <w:t>r</w:t>
      </w:r>
      <w:r w:rsidR="00CE6727">
        <w:t xml:space="preserve">eporting in the </w:t>
      </w:r>
      <w:r w:rsidR="004611DC">
        <w:t xml:space="preserve">Health Data </w:t>
      </w:r>
      <w:r w:rsidR="00CE6727">
        <w:t>Portal, who is usually assigned these roles and the functions each of the roles can perform.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  <w:tblDescription w:val="Table describing each of the roles within the Health Data Portal. The first column lists each of the roles while the second column describes each role in detail."/>
      </w:tblPr>
      <w:tblGrid>
        <w:gridCol w:w="2411"/>
        <w:gridCol w:w="2551"/>
        <w:gridCol w:w="5636"/>
      </w:tblGrid>
      <w:tr w:rsidR="00CE6727" w:rsidRPr="006B7216" w14:paraId="5F7C313D" w14:textId="77777777" w:rsidTr="004611DC">
        <w:trPr>
          <w:tblHeader/>
        </w:trPr>
        <w:tc>
          <w:tcPr>
            <w:tcW w:w="2411" w:type="dxa"/>
            <w:shd w:val="clear" w:color="auto" w:fill="00B0F0"/>
          </w:tcPr>
          <w:p w14:paraId="7C4002AD" w14:textId="77777777" w:rsidR="00CE6727" w:rsidRPr="002D4761" w:rsidRDefault="00CE6727" w:rsidP="00EF50F2">
            <w:pPr>
              <w:pStyle w:val="QRGTableHeading"/>
              <w:rPr>
                <w:color w:val="FFFFFF" w:themeColor="background1"/>
              </w:rPr>
            </w:pPr>
            <w:r w:rsidRPr="002D4761">
              <w:rPr>
                <w:color w:val="FFFFFF" w:themeColor="background1"/>
              </w:rPr>
              <w:t>Role</w:t>
            </w:r>
          </w:p>
        </w:tc>
        <w:tc>
          <w:tcPr>
            <w:tcW w:w="2551" w:type="dxa"/>
            <w:shd w:val="clear" w:color="auto" w:fill="00B0F0"/>
          </w:tcPr>
          <w:p w14:paraId="3EB3B330" w14:textId="77777777" w:rsidR="00CE6727" w:rsidRDefault="00AD1806" w:rsidP="00CE6727">
            <w:pPr>
              <w:pStyle w:val="QRGTableHeading"/>
              <w:tabs>
                <w:tab w:val="left" w:pos="2635"/>
                <w:tab w:val="center" w:pos="4608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Usually </w:t>
            </w:r>
            <w:r w:rsidR="00CE6727">
              <w:rPr>
                <w:color w:val="FFFFFF" w:themeColor="background1"/>
              </w:rPr>
              <w:t>Assigned To</w:t>
            </w:r>
          </w:p>
        </w:tc>
        <w:tc>
          <w:tcPr>
            <w:tcW w:w="5636" w:type="dxa"/>
            <w:shd w:val="clear" w:color="auto" w:fill="00B0F0"/>
          </w:tcPr>
          <w:p w14:paraId="0EEE1A86" w14:textId="77777777" w:rsidR="00CE6727" w:rsidRPr="002D4761" w:rsidRDefault="00C500D0" w:rsidP="00CE6727">
            <w:pPr>
              <w:pStyle w:val="QRGTableHeading"/>
              <w:tabs>
                <w:tab w:val="left" w:pos="2635"/>
                <w:tab w:val="center" w:pos="4608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Data </w:t>
            </w:r>
            <w:r w:rsidR="007C0624">
              <w:rPr>
                <w:color w:val="FFFFFF" w:themeColor="background1"/>
              </w:rPr>
              <w:t>Portal Functions</w:t>
            </w:r>
          </w:p>
        </w:tc>
      </w:tr>
      <w:tr w:rsidR="00CE6727" w:rsidRPr="008467EB" w14:paraId="0F971D03" w14:textId="77777777" w:rsidTr="004611DC">
        <w:tc>
          <w:tcPr>
            <w:tcW w:w="2411" w:type="dxa"/>
          </w:tcPr>
          <w:p w14:paraId="3A79D198" w14:textId="77777777" w:rsidR="00CE6727" w:rsidRPr="007C0624" w:rsidRDefault="00CE6727" w:rsidP="0042034D">
            <w:pPr>
              <w:pStyle w:val="QRGText"/>
              <w:rPr>
                <w:sz w:val="20"/>
                <w:szCs w:val="20"/>
              </w:rPr>
            </w:pPr>
            <w:r w:rsidRPr="007C0624">
              <w:rPr>
                <w:sz w:val="20"/>
                <w:szCs w:val="20"/>
              </w:rPr>
              <w:t>Submission Uploader</w:t>
            </w:r>
          </w:p>
        </w:tc>
        <w:tc>
          <w:tcPr>
            <w:tcW w:w="2551" w:type="dxa"/>
          </w:tcPr>
          <w:p w14:paraId="6E6A854A" w14:textId="2196288E" w:rsidR="00CE6727" w:rsidRPr="007C0624" w:rsidRDefault="0028088D" w:rsidP="0042034D">
            <w:pPr>
              <w:pStyle w:val="QRG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50997" w:rsidRPr="007C0624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s</w:t>
            </w:r>
            <w:r w:rsidR="00E50997" w:rsidRPr="007C0624">
              <w:rPr>
                <w:sz w:val="20"/>
                <w:szCs w:val="20"/>
              </w:rPr>
              <w:t>ervice staff responsible for reporting</w:t>
            </w:r>
          </w:p>
        </w:tc>
        <w:tc>
          <w:tcPr>
            <w:tcW w:w="5636" w:type="dxa"/>
          </w:tcPr>
          <w:p w14:paraId="07885642" w14:textId="77777777" w:rsidR="00CE6727" w:rsidRPr="007C0624" w:rsidRDefault="007C0624" w:rsidP="007C0624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C0624">
              <w:rPr>
                <w:sz w:val="20"/>
                <w:szCs w:val="20"/>
              </w:rPr>
              <w:t xml:space="preserve">Create and submit </w:t>
            </w:r>
            <w:r w:rsidR="00AD1806">
              <w:rPr>
                <w:sz w:val="20"/>
                <w:szCs w:val="20"/>
              </w:rPr>
              <w:t>manual data assets</w:t>
            </w:r>
          </w:p>
          <w:p w14:paraId="1461C486" w14:textId="77777777" w:rsidR="007C0624" w:rsidRPr="007C0624" w:rsidRDefault="007C0624" w:rsidP="007C0624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C0624">
              <w:rPr>
                <w:sz w:val="20"/>
                <w:szCs w:val="20"/>
              </w:rPr>
              <w:t>Update and submit direct load data assets</w:t>
            </w:r>
          </w:p>
          <w:p w14:paraId="05BCF20B" w14:textId="37C2B955" w:rsidR="007C0624" w:rsidRDefault="008D1D01" w:rsidP="007C0624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data values</w:t>
            </w:r>
            <w:r w:rsidR="00595D07">
              <w:rPr>
                <w:sz w:val="20"/>
                <w:szCs w:val="20"/>
              </w:rPr>
              <w:t xml:space="preserve">/text </w:t>
            </w:r>
            <w:r>
              <w:rPr>
                <w:sz w:val="20"/>
                <w:szCs w:val="20"/>
              </w:rPr>
              <w:t>based on AIHW/Health</w:t>
            </w:r>
            <w:r w:rsidR="007813F0">
              <w:rPr>
                <w:sz w:val="20"/>
                <w:szCs w:val="20"/>
              </w:rPr>
              <w:t xml:space="preserve"> and Aged Care</w:t>
            </w:r>
            <w:r w:rsidR="00DD5469">
              <w:rPr>
                <w:sz w:val="20"/>
                <w:szCs w:val="20"/>
              </w:rPr>
              <w:t>/DSS</w:t>
            </w:r>
            <w:r>
              <w:rPr>
                <w:sz w:val="20"/>
                <w:szCs w:val="20"/>
              </w:rPr>
              <w:t xml:space="preserve"> feedback</w:t>
            </w:r>
          </w:p>
          <w:p w14:paraId="3C9E4DAA" w14:textId="77777777" w:rsidR="00AD1806" w:rsidRDefault="00AD1806" w:rsidP="004611DC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 w:rsidR="004611DC">
              <w:rPr>
                <w:sz w:val="20"/>
                <w:szCs w:val="20"/>
              </w:rPr>
              <w:t>historical</w:t>
            </w:r>
            <w:r>
              <w:rPr>
                <w:sz w:val="20"/>
                <w:szCs w:val="20"/>
              </w:rPr>
              <w:t xml:space="preserve"> data assets</w:t>
            </w:r>
            <w:r w:rsidR="004611DC">
              <w:rPr>
                <w:sz w:val="20"/>
                <w:szCs w:val="20"/>
              </w:rPr>
              <w:t xml:space="preserve"> as required</w:t>
            </w:r>
          </w:p>
          <w:p w14:paraId="4D30D18E" w14:textId="3265A667" w:rsidR="00595D07" w:rsidRDefault="00595D07" w:rsidP="00403E2D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 and/or print a form at any stage of the workflow process as/if needed</w:t>
            </w:r>
          </w:p>
          <w:p w14:paraId="2016390B" w14:textId="444CB10B" w:rsidR="00403E2D" w:rsidRPr="007C0624" w:rsidRDefault="00403E2D" w:rsidP="00403E2D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a report detailing a history of all data validation flags and accompanying responses in a data asset </w:t>
            </w:r>
          </w:p>
        </w:tc>
      </w:tr>
      <w:tr w:rsidR="00CE6727" w:rsidRPr="008467EB" w14:paraId="12FC31FE" w14:textId="77777777" w:rsidTr="004611DC">
        <w:tc>
          <w:tcPr>
            <w:tcW w:w="2411" w:type="dxa"/>
          </w:tcPr>
          <w:p w14:paraId="3340B08A" w14:textId="77777777" w:rsidR="00CE6727" w:rsidRPr="007C0624" w:rsidRDefault="00CE6727" w:rsidP="0042034D">
            <w:pPr>
              <w:pStyle w:val="QRGText"/>
              <w:rPr>
                <w:sz w:val="20"/>
                <w:szCs w:val="20"/>
              </w:rPr>
            </w:pPr>
            <w:r w:rsidRPr="007C0624">
              <w:rPr>
                <w:sz w:val="20"/>
                <w:szCs w:val="20"/>
              </w:rPr>
              <w:t>Submission Reviewer</w:t>
            </w:r>
          </w:p>
        </w:tc>
        <w:tc>
          <w:tcPr>
            <w:tcW w:w="2551" w:type="dxa"/>
          </w:tcPr>
          <w:p w14:paraId="53C17DAA" w14:textId="35728624" w:rsidR="00CE6727" w:rsidRPr="007C0624" w:rsidRDefault="0028088D" w:rsidP="0042034D">
            <w:pPr>
              <w:pStyle w:val="QRG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D1806" w:rsidRPr="007C0624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s</w:t>
            </w:r>
            <w:r w:rsidR="00AD1806" w:rsidRPr="007C0624">
              <w:rPr>
                <w:sz w:val="20"/>
                <w:szCs w:val="20"/>
              </w:rPr>
              <w:t>ervice staff responsible for reporting</w:t>
            </w:r>
          </w:p>
        </w:tc>
        <w:tc>
          <w:tcPr>
            <w:tcW w:w="5636" w:type="dxa"/>
          </w:tcPr>
          <w:p w14:paraId="40FED34D" w14:textId="77777777" w:rsidR="00AD1806" w:rsidRPr="007C0624" w:rsidRDefault="00AD1806" w:rsidP="00AD1806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Pr="007C062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update data assets (including </w:t>
            </w:r>
            <w:r w:rsidR="00C500D0">
              <w:rPr>
                <w:sz w:val="20"/>
                <w:szCs w:val="20"/>
              </w:rPr>
              <w:t>forms</w:t>
            </w:r>
            <w:r>
              <w:rPr>
                <w:sz w:val="20"/>
                <w:szCs w:val="20"/>
              </w:rPr>
              <w:t>) as required</w:t>
            </w:r>
          </w:p>
          <w:p w14:paraId="0AFD0412" w14:textId="00F6066A" w:rsidR="00AD1806" w:rsidRDefault="00AD1806" w:rsidP="00AD1806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data values</w:t>
            </w:r>
            <w:r w:rsidR="00595D07">
              <w:rPr>
                <w:sz w:val="20"/>
                <w:szCs w:val="20"/>
              </w:rPr>
              <w:t>/text</w:t>
            </w:r>
            <w:r>
              <w:rPr>
                <w:sz w:val="20"/>
                <w:szCs w:val="20"/>
              </w:rPr>
              <w:t xml:space="preserve"> based on AIHW/Health</w:t>
            </w:r>
            <w:r w:rsidR="001205FB">
              <w:rPr>
                <w:sz w:val="20"/>
                <w:szCs w:val="20"/>
              </w:rPr>
              <w:t xml:space="preserve"> and Aged Care</w:t>
            </w:r>
            <w:r w:rsidR="00DD5469">
              <w:rPr>
                <w:sz w:val="20"/>
                <w:szCs w:val="20"/>
              </w:rPr>
              <w:t>/DSS</w:t>
            </w:r>
            <w:r>
              <w:rPr>
                <w:sz w:val="20"/>
                <w:szCs w:val="20"/>
              </w:rPr>
              <w:t xml:space="preserve"> feedback</w:t>
            </w:r>
          </w:p>
          <w:p w14:paraId="2791EAE0" w14:textId="6111A9C4" w:rsidR="00AD1806" w:rsidRDefault="00AD1806" w:rsidP="00AD1806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data assets </w:t>
            </w:r>
            <w:r w:rsidR="00595D07">
              <w:rPr>
                <w:sz w:val="20"/>
                <w:szCs w:val="20"/>
              </w:rPr>
              <w:t xml:space="preserve">to the </w:t>
            </w:r>
            <w:r w:rsidR="00595D07" w:rsidRPr="00595D07">
              <w:rPr>
                <w:i/>
                <w:iCs/>
                <w:sz w:val="20"/>
                <w:szCs w:val="20"/>
              </w:rPr>
              <w:t>Uploader</w:t>
            </w:r>
            <w:r w:rsidR="00595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amendment as/if required</w:t>
            </w:r>
          </w:p>
          <w:p w14:paraId="23EC6007" w14:textId="1EB9B741" w:rsidR="00AD1806" w:rsidRDefault="00AD1806" w:rsidP="00AD1806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data assets for </w:t>
            </w:r>
            <w:r w:rsidR="00595D07">
              <w:rPr>
                <w:sz w:val="20"/>
                <w:szCs w:val="20"/>
              </w:rPr>
              <w:t xml:space="preserve">to the </w:t>
            </w:r>
            <w:r w:rsidR="00595D07" w:rsidRPr="00595D07">
              <w:rPr>
                <w:i/>
                <w:iCs/>
                <w:sz w:val="20"/>
                <w:szCs w:val="20"/>
              </w:rPr>
              <w:t>Approver</w:t>
            </w:r>
            <w:r w:rsidR="00595D07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approval</w:t>
            </w:r>
          </w:p>
          <w:p w14:paraId="3E2CBF6A" w14:textId="2C3797D4" w:rsidR="00AD1806" w:rsidRDefault="00AD1806" w:rsidP="004611DC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 w:rsidR="004611DC">
              <w:rPr>
                <w:sz w:val="20"/>
                <w:szCs w:val="20"/>
              </w:rPr>
              <w:t>historical</w:t>
            </w:r>
            <w:r>
              <w:rPr>
                <w:sz w:val="20"/>
                <w:szCs w:val="20"/>
              </w:rPr>
              <w:t xml:space="preserve"> data assets</w:t>
            </w:r>
            <w:r w:rsidR="004611DC">
              <w:rPr>
                <w:sz w:val="20"/>
                <w:szCs w:val="20"/>
              </w:rPr>
              <w:t xml:space="preserve"> as required</w:t>
            </w:r>
          </w:p>
          <w:p w14:paraId="0398E803" w14:textId="77777777" w:rsidR="00595D07" w:rsidRDefault="00595D07" w:rsidP="00595D07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 and/or print a form at any stage of the workflow process as/if needed</w:t>
            </w:r>
          </w:p>
          <w:p w14:paraId="55B81B4D" w14:textId="77777777" w:rsidR="00403E2D" w:rsidRPr="00AD1806" w:rsidRDefault="00403E2D" w:rsidP="004611DC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a report detailing a history of all data validation flags and accompanying responses in a data asset</w:t>
            </w:r>
          </w:p>
        </w:tc>
      </w:tr>
      <w:tr w:rsidR="00CE6727" w:rsidRPr="008467EB" w14:paraId="08A4DF47" w14:textId="77777777" w:rsidTr="004611DC">
        <w:tc>
          <w:tcPr>
            <w:tcW w:w="2411" w:type="dxa"/>
          </w:tcPr>
          <w:p w14:paraId="701688A8" w14:textId="77777777" w:rsidR="00CE6727" w:rsidRPr="008D1D01" w:rsidRDefault="00CE6727" w:rsidP="0042034D">
            <w:pPr>
              <w:pStyle w:val="QRGTableTextLeft"/>
              <w:rPr>
                <w:sz w:val="20"/>
                <w:szCs w:val="20"/>
              </w:rPr>
            </w:pPr>
            <w:r w:rsidRPr="008D1D01">
              <w:rPr>
                <w:sz w:val="20"/>
                <w:szCs w:val="20"/>
              </w:rPr>
              <w:t>Submission Approver</w:t>
            </w:r>
          </w:p>
        </w:tc>
        <w:tc>
          <w:tcPr>
            <w:tcW w:w="2551" w:type="dxa"/>
          </w:tcPr>
          <w:p w14:paraId="2B857564" w14:textId="291A7831" w:rsidR="00CE6727" w:rsidRPr="000B0658" w:rsidRDefault="0028088D" w:rsidP="00AD1806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D1806" w:rsidRPr="000B0658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s</w:t>
            </w:r>
            <w:r w:rsidR="00AD1806" w:rsidRPr="000B0658">
              <w:rPr>
                <w:sz w:val="20"/>
                <w:szCs w:val="20"/>
              </w:rPr>
              <w:t xml:space="preserve">ervice CEOs </w:t>
            </w:r>
            <w:r w:rsidR="004611DC">
              <w:rPr>
                <w:sz w:val="20"/>
                <w:szCs w:val="20"/>
              </w:rPr>
              <w:t>or their representative</w:t>
            </w:r>
          </w:p>
        </w:tc>
        <w:tc>
          <w:tcPr>
            <w:tcW w:w="5636" w:type="dxa"/>
          </w:tcPr>
          <w:p w14:paraId="39F54795" w14:textId="77777777" w:rsidR="00AD1806" w:rsidRDefault="00AD1806" w:rsidP="00AD1806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Pr="007C062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update data assets (including </w:t>
            </w:r>
            <w:r w:rsidR="00C500D0">
              <w:rPr>
                <w:sz w:val="20"/>
                <w:szCs w:val="20"/>
              </w:rPr>
              <w:t>forms</w:t>
            </w:r>
            <w:r>
              <w:rPr>
                <w:sz w:val="20"/>
                <w:szCs w:val="20"/>
              </w:rPr>
              <w:t xml:space="preserve">) </w:t>
            </w:r>
          </w:p>
          <w:p w14:paraId="11C7F932" w14:textId="77777777" w:rsidR="00AD1806" w:rsidRDefault="00AD1806" w:rsidP="00AD1806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any internal conversations as done as required</w:t>
            </w:r>
          </w:p>
          <w:p w14:paraId="3FAFB361" w14:textId="215DDB7E" w:rsidR="00AD1806" w:rsidRDefault="00AD1806" w:rsidP="00AD1806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data assets </w:t>
            </w:r>
            <w:r w:rsidR="00595D07">
              <w:rPr>
                <w:sz w:val="20"/>
                <w:szCs w:val="20"/>
              </w:rPr>
              <w:t xml:space="preserve">to the </w:t>
            </w:r>
            <w:r w:rsidR="00595D07" w:rsidRPr="00595D07">
              <w:rPr>
                <w:i/>
                <w:iCs/>
                <w:sz w:val="20"/>
                <w:szCs w:val="20"/>
              </w:rPr>
              <w:t>Uploader</w:t>
            </w:r>
            <w:r w:rsidR="00595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amendment as/if required</w:t>
            </w:r>
          </w:p>
          <w:p w14:paraId="52815D44" w14:textId="0B8E5493" w:rsidR="00CE6727" w:rsidRDefault="00AD1806" w:rsidP="0042034D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data assets for submission to the AIHW/Health</w:t>
            </w:r>
            <w:r w:rsidR="007813F0">
              <w:rPr>
                <w:sz w:val="20"/>
                <w:szCs w:val="20"/>
              </w:rPr>
              <w:t xml:space="preserve"> and Aged Care</w:t>
            </w:r>
            <w:r w:rsidR="00DD5469">
              <w:rPr>
                <w:sz w:val="20"/>
                <w:szCs w:val="20"/>
              </w:rPr>
              <w:t>/DSS</w:t>
            </w:r>
          </w:p>
          <w:p w14:paraId="73E3B01C" w14:textId="77777777" w:rsidR="00595D07" w:rsidRDefault="00595D07" w:rsidP="00595D07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 and/or print a form at any stage of the workflow process as/if needed</w:t>
            </w:r>
          </w:p>
          <w:p w14:paraId="47E3C90D" w14:textId="77777777" w:rsidR="00403E2D" w:rsidRPr="00AD1806" w:rsidRDefault="00403E2D" w:rsidP="0042034D">
            <w:pPr>
              <w:pStyle w:val="QRGTex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a report detailing a history of all data validation flags and accompanying responses in a data asset</w:t>
            </w:r>
          </w:p>
        </w:tc>
      </w:tr>
      <w:tr w:rsidR="00CE6727" w:rsidRPr="008467EB" w14:paraId="09D5DB94" w14:textId="77777777" w:rsidTr="004611DC">
        <w:tc>
          <w:tcPr>
            <w:tcW w:w="2411" w:type="dxa"/>
          </w:tcPr>
          <w:p w14:paraId="38165B52" w14:textId="77777777" w:rsidR="00CE6727" w:rsidRPr="008D1D01" w:rsidRDefault="00CE6727" w:rsidP="0042034D">
            <w:pPr>
              <w:pStyle w:val="QRGTableTextLeft"/>
              <w:rPr>
                <w:sz w:val="20"/>
                <w:szCs w:val="20"/>
              </w:rPr>
            </w:pPr>
            <w:r w:rsidRPr="008D1D01">
              <w:rPr>
                <w:sz w:val="20"/>
                <w:szCs w:val="20"/>
              </w:rPr>
              <w:t>Submission Viewer</w:t>
            </w:r>
          </w:p>
        </w:tc>
        <w:tc>
          <w:tcPr>
            <w:tcW w:w="2551" w:type="dxa"/>
          </w:tcPr>
          <w:p w14:paraId="4CBA18ED" w14:textId="00296D3F" w:rsidR="00CE6727" w:rsidRPr="000B0658" w:rsidRDefault="0028088D" w:rsidP="0042034D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D1806" w:rsidRPr="000B0658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s</w:t>
            </w:r>
            <w:r w:rsidR="00AD1806" w:rsidRPr="000B0658">
              <w:rPr>
                <w:sz w:val="20"/>
                <w:szCs w:val="20"/>
              </w:rPr>
              <w:t>ervice staff not involved in the data asset submission process</w:t>
            </w:r>
          </w:p>
          <w:p w14:paraId="1A5B2886" w14:textId="7057CE8B" w:rsidR="00AD1806" w:rsidRPr="000B0658" w:rsidRDefault="00AD1806" w:rsidP="0042034D">
            <w:pPr>
              <w:pStyle w:val="QRGTableTextLeft"/>
              <w:rPr>
                <w:sz w:val="20"/>
                <w:szCs w:val="20"/>
              </w:rPr>
            </w:pPr>
            <w:r w:rsidRPr="000B0658">
              <w:rPr>
                <w:sz w:val="20"/>
                <w:szCs w:val="20"/>
              </w:rPr>
              <w:t xml:space="preserve">Affiliate staff wishing to view data assets for </w:t>
            </w:r>
            <w:r w:rsidR="0028088D">
              <w:rPr>
                <w:sz w:val="20"/>
                <w:szCs w:val="20"/>
              </w:rPr>
              <w:t>h</w:t>
            </w:r>
            <w:r w:rsidRPr="000B0658"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 w:rsidRPr="000B0658">
              <w:rPr>
                <w:sz w:val="20"/>
                <w:szCs w:val="20"/>
              </w:rPr>
              <w:t>ervices</w:t>
            </w:r>
          </w:p>
        </w:tc>
        <w:tc>
          <w:tcPr>
            <w:tcW w:w="5636" w:type="dxa"/>
          </w:tcPr>
          <w:p w14:paraId="362E49CA" w14:textId="64700F23" w:rsidR="00CE6727" w:rsidRDefault="00AD1806" w:rsidP="00595D07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 w:rsidRPr="00AD1806">
              <w:rPr>
                <w:i/>
                <w:sz w:val="20"/>
                <w:szCs w:val="20"/>
              </w:rPr>
              <w:t>Processed</w:t>
            </w:r>
            <w:r>
              <w:rPr>
                <w:sz w:val="20"/>
                <w:szCs w:val="20"/>
              </w:rPr>
              <w:t xml:space="preserve"> data assets in read only mode</w:t>
            </w:r>
          </w:p>
          <w:p w14:paraId="6BC61C04" w14:textId="152E2A98" w:rsidR="00595D07" w:rsidRDefault="00595D07" w:rsidP="00595D07">
            <w:pPr>
              <w:pStyle w:val="QRGTex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PDF and/or print a </w:t>
            </w:r>
            <w:r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 xml:space="preserve">form </w:t>
            </w:r>
          </w:p>
          <w:p w14:paraId="28D18B33" w14:textId="77777777" w:rsidR="00AD1806" w:rsidRPr="008D1D01" w:rsidRDefault="00AD1806" w:rsidP="00595D07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 approved data files from data assets</w:t>
            </w:r>
          </w:p>
        </w:tc>
      </w:tr>
      <w:tr w:rsidR="00CE6727" w:rsidRPr="008467EB" w14:paraId="6BD2F8E6" w14:textId="77777777" w:rsidTr="004611DC">
        <w:tc>
          <w:tcPr>
            <w:tcW w:w="2411" w:type="dxa"/>
          </w:tcPr>
          <w:p w14:paraId="6C556B25" w14:textId="77777777" w:rsidR="00CE6727" w:rsidRPr="00AD1806" w:rsidRDefault="00CE6727" w:rsidP="0042034D">
            <w:pPr>
              <w:pStyle w:val="QRGTableTextLeft"/>
              <w:rPr>
                <w:sz w:val="20"/>
                <w:szCs w:val="20"/>
              </w:rPr>
            </w:pPr>
            <w:r w:rsidRPr="00AD1806">
              <w:rPr>
                <w:sz w:val="20"/>
                <w:szCs w:val="20"/>
              </w:rPr>
              <w:t>Data Receiver</w:t>
            </w:r>
          </w:p>
        </w:tc>
        <w:tc>
          <w:tcPr>
            <w:tcW w:w="2551" w:type="dxa"/>
          </w:tcPr>
          <w:p w14:paraId="23FC54FE" w14:textId="77777777" w:rsidR="00CE6727" w:rsidRPr="000B0658" w:rsidRDefault="00AD1806" w:rsidP="0042034D">
            <w:pPr>
              <w:pStyle w:val="QRGTableTextLeft"/>
              <w:rPr>
                <w:sz w:val="20"/>
                <w:szCs w:val="20"/>
              </w:rPr>
            </w:pPr>
            <w:r w:rsidRPr="000B0658">
              <w:rPr>
                <w:sz w:val="20"/>
                <w:szCs w:val="20"/>
              </w:rPr>
              <w:t>The AIHW (nKPI and OSR)</w:t>
            </w:r>
          </w:p>
          <w:p w14:paraId="08304B02" w14:textId="36687183" w:rsidR="00AD1806" w:rsidRDefault="00AD1806" w:rsidP="0042034D">
            <w:pPr>
              <w:pStyle w:val="QRGTableTextLeft"/>
              <w:rPr>
                <w:sz w:val="20"/>
                <w:szCs w:val="20"/>
              </w:rPr>
            </w:pPr>
            <w:r w:rsidRPr="000B0658">
              <w:rPr>
                <w:sz w:val="20"/>
                <w:szCs w:val="20"/>
              </w:rPr>
              <w:t>Health</w:t>
            </w:r>
            <w:r w:rsidR="007813F0">
              <w:rPr>
                <w:sz w:val="20"/>
                <w:szCs w:val="20"/>
              </w:rPr>
              <w:t xml:space="preserve"> and Aged Care</w:t>
            </w:r>
            <w:r w:rsidRPr="000B0658">
              <w:rPr>
                <w:sz w:val="20"/>
                <w:szCs w:val="20"/>
              </w:rPr>
              <w:t xml:space="preserve"> (HCP)</w:t>
            </w:r>
          </w:p>
          <w:p w14:paraId="22555324" w14:textId="684E9D87" w:rsidR="00DD5469" w:rsidRPr="000B0658" w:rsidRDefault="00DD5469" w:rsidP="0042034D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DSS FAMs (Performance </w:t>
            </w:r>
            <w:r>
              <w:rPr>
                <w:sz w:val="20"/>
                <w:szCs w:val="20"/>
              </w:rPr>
              <w:lastRenderedPageBreak/>
              <w:t>Report</w:t>
            </w:r>
            <w:r w:rsidR="00595D07">
              <w:rPr>
                <w:sz w:val="20"/>
                <w:szCs w:val="20"/>
              </w:rPr>
              <w:t xml:space="preserve"> and</w:t>
            </w:r>
            <w:r w:rsidR="001205FB">
              <w:rPr>
                <w:sz w:val="20"/>
                <w:szCs w:val="20"/>
              </w:rPr>
              <w:t xml:space="preserve"> AWP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36" w:type="dxa"/>
          </w:tcPr>
          <w:p w14:paraId="3E634EC4" w14:textId="23462AAD" w:rsidR="00CE6727" w:rsidRDefault="00717564" w:rsidP="00717564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Review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 data assets</w:t>
            </w:r>
          </w:p>
          <w:p w14:paraId="02D18202" w14:textId="4590F587" w:rsidR="00717564" w:rsidRDefault="00717564" w:rsidP="00717564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data assets to the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 that have been sent in error</w:t>
            </w:r>
          </w:p>
          <w:p w14:paraId="3A75412C" w14:textId="3161A8C2" w:rsidR="00717564" w:rsidRDefault="00717564" w:rsidP="00717564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comments to indicators with data issues, for actioning by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ervices</w:t>
            </w:r>
          </w:p>
          <w:p w14:paraId="3F52028A" w14:textId="77777777" w:rsidR="00717564" w:rsidRDefault="00717564" w:rsidP="00717564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Mark data validation issue comments as done as needed</w:t>
            </w:r>
          </w:p>
          <w:p w14:paraId="48383289" w14:textId="26632C64" w:rsidR="004611DC" w:rsidRDefault="004611DC" w:rsidP="00717564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Exclude </w:t>
            </w:r>
            <w:r w:rsidR="0028088D">
              <w:rPr>
                <w:sz w:val="20"/>
                <w:szCs w:val="20"/>
              </w:rPr>
              <w:t>certain</w:t>
            </w:r>
            <w:r>
              <w:rPr>
                <w:sz w:val="20"/>
                <w:szCs w:val="20"/>
              </w:rPr>
              <w:t xml:space="preserve">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 data from reports if required</w:t>
            </w:r>
          </w:p>
          <w:p w14:paraId="785E1AEF" w14:textId="77777777" w:rsidR="00717564" w:rsidRDefault="00717564" w:rsidP="00C500D0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data assets (and attached </w:t>
            </w:r>
            <w:r w:rsidR="00C500D0">
              <w:rPr>
                <w:sz w:val="20"/>
                <w:szCs w:val="20"/>
              </w:rPr>
              <w:t>forms</w:t>
            </w:r>
            <w:r>
              <w:rPr>
                <w:sz w:val="20"/>
                <w:szCs w:val="20"/>
              </w:rPr>
              <w:t>) as complete</w:t>
            </w:r>
          </w:p>
          <w:p w14:paraId="2EF799C5" w14:textId="0578248A" w:rsidR="00595D07" w:rsidRPr="00595D07" w:rsidRDefault="00595D07" w:rsidP="00595D07">
            <w:pPr>
              <w:pStyle w:val="QRGTex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PDF and/or print a completed form </w:t>
            </w:r>
          </w:p>
        </w:tc>
      </w:tr>
      <w:tr w:rsidR="00CE6727" w:rsidRPr="008467EB" w14:paraId="56C1BF48" w14:textId="77777777" w:rsidTr="004611DC">
        <w:tc>
          <w:tcPr>
            <w:tcW w:w="2411" w:type="dxa"/>
          </w:tcPr>
          <w:p w14:paraId="17A383B2" w14:textId="77777777" w:rsidR="00CE6727" w:rsidRPr="00AD1806" w:rsidRDefault="00CE6727" w:rsidP="00761750">
            <w:pPr>
              <w:pStyle w:val="QRGTableTextLeft"/>
              <w:rPr>
                <w:sz w:val="20"/>
                <w:szCs w:val="20"/>
              </w:rPr>
            </w:pPr>
            <w:r w:rsidRPr="00AD1806">
              <w:rPr>
                <w:sz w:val="20"/>
                <w:szCs w:val="20"/>
              </w:rPr>
              <w:lastRenderedPageBreak/>
              <w:t>User Administrator</w:t>
            </w:r>
          </w:p>
        </w:tc>
        <w:tc>
          <w:tcPr>
            <w:tcW w:w="2551" w:type="dxa"/>
          </w:tcPr>
          <w:p w14:paraId="77000C1E" w14:textId="0944506E" w:rsidR="00CE6727" w:rsidRPr="000B0658" w:rsidRDefault="0028088D" w:rsidP="00717564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D1806" w:rsidRPr="000B0658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s</w:t>
            </w:r>
            <w:r w:rsidR="00AD1806" w:rsidRPr="000B0658">
              <w:rPr>
                <w:sz w:val="20"/>
                <w:szCs w:val="20"/>
              </w:rPr>
              <w:t>ervice</w:t>
            </w:r>
            <w:r w:rsidR="00717564" w:rsidRPr="000B0658">
              <w:rPr>
                <w:sz w:val="20"/>
                <w:szCs w:val="20"/>
              </w:rPr>
              <w:t xml:space="preserve"> user(s) identified as responsible for the </w:t>
            </w:r>
            <w:r w:rsidR="00401922">
              <w:rPr>
                <w:sz w:val="20"/>
                <w:szCs w:val="20"/>
              </w:rPr>
              <w:t>reporting</w:t>
            </w:r>
            <w:r w:rsidR="00717564" w:rsidRPr="000B0658">
              <w:rPr>
                <w:sz w:val="20"/>
                <w:szCs w:val="20"/>
              </w:rPr>
              <w:t xml:space="preserve"> process in the </w:t>
            </w:r>
            <w:r w:rsidR="00C500D0">
              <w:rPr>
                <w:sz w:val="20"/>
                <w:szCs w:val="20"/>
              </w:rPr>
              <w:t xml:space="preserve">Data </w:t>
            </w:r>
            <w:r w:rsidR="00717564" w:rsidRPr="000B0658">
              <w:rPr>
                <w:sz w:val="20"/>
                <w:szCs w:val="20"/>
              </w:rPr>
              <w:t>Portal</w:t>
            </w:r>
          </w:p>
        </w:tc>
        <w:tc>
          <w:tcPr>
            <w:tcW w:w="5636" w:type="dxa"/>
          </w:tcPr>
          <w:p w14:paraId="57DDCD8A" w14:textId="1E99939A" w:rsidR="00CE6727" w:rsidRDefault="00717564" w:rsidP="00096111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roles and folders to users within their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</w:t>
            </w:r>
          </w:p>
          <w:p w14:paraId="7322FDAC" w14:textId="637C6984" w:rsidR="00717564" w:rsidRDefault="00717564" w:rsidP="00096111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Nominate users within their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 to be given Q</w:t>
            </w:r>
            <w:r w:rsidR="007357FF">
              <w:rPr>
                <w:sz w:val="20"/>
                <w:szCs w:val="20"/>
              </w:rPr>
              <w:t>lik</w:t>
            </w:r>
            <w:r>
              <w:rPr>
                <w:sz w:val="20"/>
                <w:szCs w:val="20"/>
              </w:rPr>
              <w:t xml:space="preserve"> </w:t>
            </w:r>
            <w:r w:rsidR="00C500D0">
              <w:rPr>
                <w:sz w:val="20"/>
                <w:szCs w:val="20"/>
              </w:rPr>
              <w:t>Interactive Reports</w:t>
            </w:r>
            <w:r>
              <w:rPr>
                <w:sz w:val="20"/>
                <w:szCs w:val="20"/>
              </w:rPr>
              <w:t xml:space="preserve"> access</w:t>
            </w:r>
          </w:p>
          <w:p w14:paraId="206AA7D2" w14:textId="77777777" w:rsidR="00717564" w:rsidRDefault="00717564" w:rsidP="00096111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functions associated with any other </w:t>
            </w:r>
            <w:r w:rsidR="00C500D0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Portal roles they have </w:t>
            </w:r>
          </w:p>
          <w:p w14:paraId="36B4F257" w14:textId="0EBC1B4F" w:rsidR="00527C0F" w:rsidRPr="00AD1806" w:rsidRDefault="00527C0F" w:rsidP="00096111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user profiles within their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ervice for users from other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ervices </w:t>
            </w:r>
          </w:p>
        </w:tc>
      </w:tr>
      <w:tr w:rsidR="00CE6727" w:rsidRPr="008467EB" w14:paraId="56A98B4A" w14:textId="77777777" w:rsidTr="004611DC">
        <w:tc>
          <w:tcPr>
            <w:tcW w:w="2411" w:type="dxa"/>
          </w:tcPr>
          <w:p w14:paraId="61D41887" w14:textId="77777777" w:rsidR="00CE6727" w:rsidRPr="000B0658" w:rsidRDefault="00CE6727" w:rsidP="00761750">
            <w:pPr>
              <w:pStyle w:val="QRGText"/>
              <w:rPr>
                <w:sz w:val="20"/>
                <w:szCs w:val="20"/>
              </w:rPr>
            </w:pPr>
            <w:r w:rsidRPr="000B0658">
              <w:rPr>
                <w:sz w:val="20"/>
                <w:szCs w:val="20"/>
              </w:rPr>
              <w:t>Organisation Administrator</w:t>
            </w:r>
          </w:p>
        </w:tc>
        <w:tc>
          <w:tcPr>
            <w:tcW w:w="2551" w:type="dxa"/>
          </w:tcPr>
          <w:p w14:paraId="20BDD80C" w14:textId="77E8DEA0" w:rsidR="00CE6727" w:rsidRPr="000B0658" w:rsidRDefault="001205FB" w:rsidP="00761750">
            <w:pPr>
              <w:pStyle w:val="QRG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  <w:r w:rsidR="000B0658" w:rsidRPr="000B0658">
              <w:rPr>
                <w:sz w:val="20"/>
                <w:szCs w:val="20"/>
              </w:rPr>
              <w:t>HD Administrators</w:t>
            </w:r>
          </w:p>
          <w:p w14:paraId="2E161881" w14:textId="1CCE4715" w:rsidR="000B0658" w:rsidRPr="000B0658" w:rsidRDefault="000B0658" w:rsidP="00761750">
            <w:pPr>
              <w:pStyle w:val="QRGText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14:paraId="20B6E608" w14:textId="3089B02B" w:rsidR="00CE6727" w:rsidRDefault="000B0658" w:rsidP="00096111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0658">
              <w:rPr>
                <w:sz w:val="20"/>
                <w:szCs w:val="20"/>
              </w:rPr>
              <w:t xml:space="preserve">Create organisation records in the </w:t>
            </w:r>
            <w:r w:rsidR="00C500D0">
              <w:rPr>
                <w:sz w:val="20"/>
                <w:szCs w:val="20"/>
              </w:rPr>
              <w:t xml:space="preserve">Data </w:t>
            </w:r>
            <w:r w:rsidRPr="000B0658">
              <w:rPr>
                <w:sz w:val="20"/>
                <w:szCs w:val="20"/>
              </w:rPr>
              <w:t xml:space="preserve">Portal for new </w:t>
            </w:r>
            <w:r w:rsidR="0028088D">
              <w:rPr>
                <w:sz w:val="20"/>
                <w:szCs w:val="20"/>
              </w:rPr>
              <w:t>h</w:t>
            </w:r>
            <w:r w:rsidRPr="000B0658"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 w:rsidRPr="000B0658">
              <w:rPr>
                <w:sz w:val="20"/>
                <w:szCs w:val="20"/>
              </w:rPr>
              <w:t>ervices</w:t>
            </w:r>
            <w:r>
              <w:rPr>
                <w:sz w:val="20"/>
                <w:szCs w:val="20"/>
              </w:rPr>
              <w:t xml:space="preserve"> or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ervices that now need to report </w:t>
            </w:r>
          </w:p>
          <w:p w14:paraId="23A37A3A" w14:textId="77777777" w:rsidR="000B0658" w:rsidRDefault="000B0658" w:rsidP="00096111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organisation records</w:t>
            </w:r>
            <w:r w:rsidR="00527C0F">
              <w:rPr>
                <w:sz w:val="20"/>
                <w:szCs w:val="20"/>
              </w:rPr>
              <w:t xml:space="preserve"> to ensure they are accurate (including addresses and the data items the organisation can report on) </w:t>
            </w:r>
          </w:p>
          <w:p w14:paraId="5194DB2F" w14:textId="77777777" w:rsidR="00096111" w:rsidRPr="00096111" w:rsidRDefault="00096111" w:rsidP="00096111">
            <w:pPr>
              <w:pStyle w:val="QRGTableTextLef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user records within their organisations to track completeness of role allocations</w:t>
            </w:r>
          </w:p>
        </w:tc>
      </w:tr>
      <w:tr w:rsidR="00CE6727" w:rsidRPr="008467EB" w14:paraId="3F4E3B75" w14:textId="77777777" w:rsidTr="004611DC">
        <w:tc>
          <w:tcPr>
            <w:tcW w:w="2411" w:type="dxa"/>
          </w:tcPr>
          <w:p w14:paraId="41518155" w14:textId="77777777" w:rsidR="00CE6727" w:rsidRPr="00527C0F" w:rsidRDefault="00CE6727" w:rsidP="00D44C73">
            <w:pPr>
              <w:pStyle w:val="QRGTableTextLeft"/>
              <w:rPr>
                <w:sz w:val="20"/>
                <w:szCs w:val="20"/>
              </w:rPr>
            </w:pPr>
            <w:r w:rsidRPr="00527C0F">
              <w:rPr>
                <w:sz w:val="20"/>
                <w:szCs w:val="20"/>
              </w:rPr>
              <w:t>Interactive Report Viewer</w:t>
            </w:r>
            <w:r w:rsidR="00527C0F" w:rsidRPr="00527C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EDB5F7C" w14:textId="39EAE06D" w:rsidR="00CE6727" w:rsidRDefault="0028088D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96111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s</w:t>
            </w:r>
            <w:r w:rsidR="00096111">
              <w:rPr>
                <w:sz w:val="20"/>
                <w:szCs w:val="20"/>
              </w:rPr>
              <w:t xml:space="preserve">ervices </w:t>
            </w:r>
          </w:p>
          <w:p w14:paraId="70EB0E6E" w14:textId="77777777" w:rsidR="00096111" w:rsidRDefault="00096111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AIHW</w:t>
            </w:r>
          </w:p>
          <w:p w14:paraId="049591DE" w14:textId="33673E3E" w:rsidR="00F95400" w:rsidRDefault="001205FB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  <w:r w:rsidR="00F95400">
              <w:rPr>
                <w:sz w:val="20"/>
                <w:szCs w:val="20"/>
              </w:rPr>
              <w:t>HD Administrators</w:t>
            </w:r>
          </w:p>
          <w:p w14:paraId="617BED78" w14:textId="52D2C42F" w:rsidR="00401922" w:rsidRDefault="00DD5469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DSS </w:t>
            </w:r>
            <w:r w:rsidR="00401922">
              <w:rPr>
                <w:sz w:val="20"/>
                <w:szCs w:val="20"/>
              </w:rPr>
              <w:t>Grant Managers</w:t>
            </w:r>
          </w:p>
          <w:p w14:paraId="32C4B179" w14:textId="6727F296" w:rsidR="00401922" w:rsidRDefault="00401922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NACCHO</w:t>
            </w:r>
          </w:p>
          <w:p w14:paraId="029245D4" w14:textId="5D8E825C" w:rsidR="00401922" w:rsidRDefault="00401922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Support orgs</w:t>
            </w:r>
          </w:p>
          <w:p w14:paraId="3F2BDFA9" w14:textId="42A7EC66" w:rsidR="00401922" w:rsidRDefault="00401922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</w:t>
            </w:r>
          </w:p>
          <w:p w14:paraId="7909A785" w14:textId="77777777" w:rsidR="00096111" w:rsidRPr="00527C0F" w:rsidRDefault="00096111" w:rsidP="000F4A18">
            <w:pPr>
              <w:pStyle w:val="QRGTableTextLeft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14:paraId="026C8A2A" w14:textId="24306967" w:rsidR="00CE6727" w:rsidRDefault="00096111" w:rsidP="00096111">
            <w:pPr>
              <w:pStyle w:val="QRGTableTextLef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inter</w:t>
            </w:r>
            <w:r w:rsidR="004611DC">
              <w:rPr>
                <w:sz w:val="20"/>
                <w:szCs w:val="20"/>
              </w:rPr>
              <w:t xml:space="preserve">active </w:t>
            </w:r>
            <w:r w:rsidR="00C500D0">
              <w:rPr>
                <w:sz w:val="20"/>
                <w:szCs w:val="20"/>
              </w:rPr>
              <w:t>reports</w:t>
            </w:r>
            <w:r w:rsidR="004611DC">
              <w:rPr>
                <w:sz w:val="20"/>
                <w:szCs w:val="20"/>
              </w:rPr>
              <w:t xml:space="preserve"> displaying</w:t>
            </w:r>
            <w:r w:rsidR="00401922">
              <w:rPr>
                <w:sz w:val="20"/>
                <w:szCs w:val="20"/>
              </w:rPr>
              <w:t xml:space="preserve"> health service</w:t>
            </w:r>
            <w:r w:rsidR="004611DC">
              <w:rPr>
                <w:sz w:val="20"/>
                <w:szCs w:val="20"/>
              </w:rPr>
              <w:t xml:space="preserve"> nKPI</w:t>
            </w:r>
            <w:r>
              <w:rPr>
                <w:sz w:val="20"/>
                <w:szCs w:val="20"/>
              </w:rPr>
              <w:t xml:space="preserve"> data and how it compares to national targets and other similar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ervices </w:t>
            </w:r>
          </w:p>
          <w:p w14:paraId="18FD0FA7" w14:textId="0698BB6C" w:rsidR="00096111" w:rsidRPr="00096111" w:rsidRDefault="00096111" w:rsidP="00096111">
            <w:pPr>
              <w:pStyle w:val="QRGTableTextLef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management reports </w:t>
            </w:r>
            <w:r w:rsidR="004611DC">
              <w:rPr>
                <w:sz w:val="20"/>
                <w:szCs w:val="20"/>
              </w:rPr>
              <w:t xml:space="preserve">that will (amongst other things) </w:t>
            </w:r>
            <w:r>
              <w:rPr>
                <w:sz w:val="20"/>
                <w:szCs w:val="20"/>
              </w:rPr>
              <w:t xml:space="preserve">allow you to track the progress of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ervice’s data assets through the data asset submission workflow (</w:t>
            </w:r>
            <w:r w:rsidR="001205FB">
              <w:rPr>
                <w:sz w:val="20"/>
                <w:szCs w:val="20"/>
              </w:rPr>
              <w:t>FN</w:t>
            </w:r>
            <w:r w:rsidR="00401922">
              <w:rPr>
                <w:sz w:val="20"/>
                <w:szCs w:val="20"/>
              </w:rPr>
              <w:t>HD Administrators and the AIHW)</w:t>
            </w:r>
          </w:p>
        </w:tc>
      </w:tr>
      <w:tr w:rsidR="00F95400" w:rsidRPr="008467EB" w14:paraId="58F5EAC8" w14:textId="77777777" w:rsidTr="004611DC">
        <w:tc>
          <w:tcPr>
            <w:tcW w:w="2411" w:type="dxa"/>
          </w:tcPr>
          <w:p w14:paraId="374BD46A" w14:textId="77777777" w:rsidR="00F95400" w:rsidRPr="00527C0F" w:rsidRDefault="00F95400" w:rsidP="00D44C73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Published Report Viewer</w:t>
            </w:r>
          </w:p>
        </w:tc>
        <w:tc>
          <w:tcPr>
            <w:tcW w:w="2551" w:type="dxa"/>
          </w:tcPr>
          <w:p w14:paraId="7320C956" w14:textId="507AD63C" w:rsidR="00F95400" w:rsidRDefault="0028088D" w:rsidP="000F4A18">
            <w:pPr>
              <w:pStyle w:val="QRGTableTex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95400">
              <w:rPr>
                <w:sz w:val="20"/>
                <w:szCs w:val="20"/>
              </w:rPr>
              <w:t xml:space="preserve">ealth </w:t>
            </w:r>
            <w:r>
              <w:rPr>
                <w:sz w:val="20"/>
                <w:szCs w:val="20"/>
              </w:rPr>
              <w:t>s</w:t>
            </w:r>
            <w:r w:rsidR="00F95400">
              <w:rPr>
                <w:sz w:val="20"/>
                <w:szCs w:val="20"/>
              </w:rPr>
              <w:t xml:space="preserve">ervices </w:t>
            </w:r>
          </w:p>
        </w:tc>
        <w:tc>
          <w:tcPr>
            <w:tcW w:w="5636" w:type="dxa"/>
          </w:tcPr>
          <w:p w14:paraId="4BD8D87C" w14:textId="59068B96" w:rsidR="00F95400" w:rsidRDefault="00F95400" w:rsidP="00F95400">
            <w:pPr>
              <w:pStyle w:val="QRGTableTextLef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and download </w:t>
            </w:r>
            <w:r w:rsidR="0028088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2808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 nKPI Summary reports published in the Health Data Portal by the Department of Health</w:t>
            </w:r>
            <w:r w:rsidR="007813F0">
              <w:rPr>
                <w:sz w:val="20"/>
                <w:szCs w:val="20"/>
              </w:rPr>
              <w:t xml:space="preserve"> and Aged Care</w:t>
            </w:r>
          </w:p>
        </w:tc>
      </w:tr>
      <w:tr w:rsidR="00CE6727" w:rsidRPr="008467EB" w14:paraId="02E15CA7" w14:textId="77777777" w:rsidTr="004611DC">
        <w:tc>
          <w:tcPr>
            <w:tcW w:w="2411" w:type="dxa"/>
          </w:tcPr>
          <w:p w14:paraId="6D3CDD69" w14:textId="77777777" w:rsidR="00CE6727" w:rsidRPr="00096111" w:rsidRDefault="00CE6727" w:rsidP="00D44C73">
            <w:pPr>
              <w:pStyle w:val="QRGTableTextLeft"/>
              <w:rPr>
                <w:sz w:val="20"/>
                <w:szCs w:val="20"/>
              </w:rPr>
            </w:pPr>
            <w:r w:rsidRPr="00096111">
              <w:rPr>
                <w:sz w:val="20"/>
                <w:szCs w:val="20"/>
              </w:rPr>
              <w:t>Reporting Round Administrator</w:t>
            </w:r>
          </w:p>
        </w:tc>
        <w:tc>
          <w:tcPr>
            <w:tcW w:w="2551" w:type="dxa"/>
          </w:tcPr>
          <w:p w14:paraId="5306EE6B" w14:textId="623FC155" w:rsidR="00096111" w:rsidRPr="000B0658" w:rsidRDefault="001205FB" w:rsidP="00096111">
            <w:pPr>
              <w:pStyle w:val="QRG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  <w:r w:rsidR="00096111" w:rsidRPr="000B0658">
              <w:rPr>
                <w:sz w:val="20"/>
                <w:szCs w:val="20"/>
              </w:rPr>
              <w:t>HD Administrators</w:t>
            </w:r>
          </w:p>
          <w:p w14:paraId="4BF560A7" w14:textId="77777777" w:rsidR="00CE6727" w:rsidRPr="00096111" w:rsidRDefault="00CE6727" w:rsidP="00D44C73">
            <w:pPr>
              <w:pStyle w:val="QRGTableTextLeft"/>
              <w:rPr>
                <w:sz w:val="20"/>
                <w:szCs w:val="20"/>
              </w:rPr>
            </w:pPr>
          </w:p>
        </w:tc>
        <w:tc>
          <w:tcPr>
            <w:tcW w:w="5636" w:type="dxa"/>
          </w:tcPr>
          <w:p w14:paraId="1F89C215" w14:textId="77777777" w:rsidR="00CE6727" w:rsidRPr="00096111" w:rsidRDefault="00096111" w:rsidP="00096111">
            <w:pPr>
              <w:pStyle w:val="QRGTableTextLef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E6727" w:rsidRPr="0009611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eate and update reporting round records</w:t>
            </w:r>
          </w:p>
          <w:p w14:paraId="02E76A30" w14:textId="77777777" w:rsidR="00CE6727" w:rsidRPr="00096111" w:rsidRDefault="00CE6727" w:rsidP="00D44C73">
            <w:pPr>
              <w:pStyle w:val="QRGTableTextLeft"/>
              <w:rPr>
                <w:sz w:val="20"/>
                <w:szCs w:val="20"/>
              </w:rPr>
            </w:pPr>
          </w:p>
        </w:tc>
      </w:tr>
    </w:tbl>
    <w:p w14:paraId="1AAC2267" w14:textId="77777777" w:rsidR="00A6070D" w:rsidRPr="0058320B" w:rsidRDefault="00403E2D" w:rsidP="003C7A22">
      <w:pPr>
        <w:pStyle w:val="QRGPictureLeft"/>
      </w:pPr>
      <w:r w:rsidRPr="00CE6727">
        <w:rPr>
          <w:rFonts w:ascii="Times New Roman" w:hAnsi="Times New Roman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AFBFA" wp14:editId="41215D58">
                <wp:simplePos x="0" y="0"/>
                <wp:positionH relativeFrom="column">
                  <wp:posOffset>2893060</wp:posOffset>
                </wp:positionH>
                <wp:positionV relativeFrom="page">
                  <wp:posOffset>257175</wp:posOffset>
                </wp:positionV>
                <wp:extent cx="4149306" cy="534838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306" cy="534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6FEE9" w14:textId="322717B5" w:rsidR="00832A80" w:rsidRPr="00D22D71" w:rsidRDefault="00371D1D" w:rsidP="00832A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Indigenous Health Data Reporting</w:t>
                            </w:r>
                            <w:r w:rsidR="00832A80" w:rsidRPr="00D22D7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Roles</w:t>
                            </w:r>
                            <w:r w:rsidR="00832A8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Functions</w:t>
                            </w:r>
                            <w:r w:rsidR="00832A8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Data </w:t>
                            </w:r>
                            <w:r w:rsidR="00832A8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AFBFA" id="Text Box 1" o:spid="_x0000_s1027" type="#_x0000_t202" style="position:absolute;margin-left:227.8pt;margin-top:20.25pt;width:326.7pt;height:42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+r/QEAANQDAAAOAAAAZHJzL2Uyb0RvYy54bWysU9uO2yAQfa/Uf0C8N3YSZ5tYcVbb3aaq&#10;tL1I234AxjhGBYYCiZ1+fQfszUbtW1U/IIYxZ+acOWxvB63ISTgvwVR0PsspEYZDI82hot+/7d+s&#10;KfGBmYYpMKKiZ+Hp7e71q21vS7GADlQjHEEQ48veVrQLwZZZ5nknNPMzsMJgsgWnWcDQHbLGsR7R&#10;tcoWeX6T9eAa64AL7/H0YUzSXcJvW8HDl7b1IhBVUewtpNWltY5rttuy8uCY7SSf2mD/0IVm0mDR&#10;C9QDC4wcnfwLSkvuwEMbZhx0Bm0ruUgckM08/4PNU8esSFxQHG8vMvn/B8s/n57sV0fC8A4GHGAi&#10;4e0j8B+eGLjvmDmIO+eg7wRrsPA8Spb11pfT1Si1L30EqftP0OCQ2TFAAhpap6MqyJMgOg7gfBFd&#10;DIFwPCzmxWaZ31DCMbdaFuvlOpVg5fNt63z4IECTuKmow6EmdHZ69CF2w8rnX2IxA3upVBqsMqSv&#10;6Ga1WKULVxktA/pOSV3RdR6/0QmR5HvTpMuBSTXusYAyE+tIdKQchnogspkkiSLU0JxRBgejzfBZ&#10;4KYD94uSHi1WUf/zyJygRH00KOVmXhTRkykoVm8XGLjrTH2dYYYjVEUDJeP2PiQfR8re3qHke5nU&#10;eOlkahmtk0SabB69eR2nv14e4+43AAAA//8DAFBLAwQUAAYACAAAACEA3Zh4qd8AAAALAQAADwAA&#10;AGRycy9kb3ducmV2LnhtbEyPzU7DMBCE70i8g7VI3KjdqGkhxKkq1JYjpUSc3XhJIuIf2W4a3p7t&#10;CW4z2k+zM+V6MgMbMcTeWQnzmQCGtnG6t62E+mP38AgsJmW1GpxFCT8YYV3d3pSq0O5i33E8ppZR&#10;iI2FktCl5AvOY9OhUXHmPFq6fblgVCIbWq6DulC4GXgmxJIb1Vv60CmPLx0238ezkeCT369ew9th&#10;s92Nov7c11nfbqW8v5s2z8ASTukPhmt9qg4VdTq5s9WRDRIWeb4klITIgV2BuXiidSdS2WIFvCr5&#10;/w3VLwAAAP//AwBQSwECLQAUAAYACAAAACEAtoM4kv4AAADhAQAAEwAAAAAAAAAAAAAAAAAAAAAA&#10;W0NvbnRlbnRfVHlwZXNdLnhtbFBLAQItABQABgAIAAAAIQA4/SH/1gAAAJQBAAALAAAAAAAAAAAA&#10;AAAAAC8BAABfcmVscy8ucmVsc1BLAQItABQABgAIAAAAIQAiG2+r/QEAANQDAAAOAAAAAAAAAAAA&#10;AAAAAC4CAABkcnMvZTJvRG9jLnhtbFBLAQItABQABgAIAAAAIQDdmHip3wAAAAsBAAAPAAAAAAAA&#10;AAAAAAAAAFcEAABkcnMvZG93bnJldi54bWxQSwUGAAAAAAQABADzAAAAYwUAAAAA&#10;" filled="f" stroked="f">
                <v:textbox style="mso-fit-shape-to-text:t">
                  <w:txbxContent>
                    <w:p w14:paraId="6866FEE9" w14:textId="322717B5" w:rsidR="00832A80" w:rsidRPr="00D22D71" w:rsidRDefault="00371D1D" w:rsidP="00832A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Indigenous Health Data Reporting</w:t>
                      </w:r>
                      <w:r w:rsidR="00832A80" w:rsidRPr="00D22D7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Roles</w:t>
                      </w:r>
                      <w:r w:rsidR="00832A8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and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Functions</w:t>
                      </w:r>
                      <w:r w:rsidR="00832A8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Data </w:t>
                      </w:r>
                      <w:r w:rsidR="00832A8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Portal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6070D" w:rsidRPr="0058320B" w:rsidSect="003C7A22">
      <w:headerReference w:type="default" r:id="rId7"/>
      <w:footerReference w:type="default" r:id="rId8"/>
      <w:type w:val="continuous"/>
      <w:pgSz w:w="11906" w:h="16838" w:code="9"/>
      <w:pgMar w:top="2127" w:right="849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666E" w14:textId="77777777" w:rsidR="00440F63" w:rsidRDefault="00440F63" w:rsidP="00AF798B">
      <w:pPr>
        <w:spacing w:before="0" w:after="0"/>
      </w:pPr>
      <w:r>
        <w:separator/>
      </w:r>
    </w:p>
    <w:p w14:paraId="1E3442D5" w14:textId="77777777" w:rsidR="00440F63" w:rsidRDefault="00440F63"/>
  </w:endnote>
  <w:endnote w:type="continuationSeparator" w:id="0">
    <w:p w14:paraId="289241F1" w14:textId="77777777" w:rsidR="00440F63" w:rsidRDefault="00440F63" w:rsidP="00AF798B">
      <w:pPr>
        <w:spacing w:before="0" w:after="0"/>
      </w:pPr>
      <w:r>
        <w:continuationSeparator/>
      </w:r>
    </w:p>
    <w:p w14:paraId="0DF87D64" w14:textId="77777777" w:rsidR="00440F63" w:rsidRDefault="00440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5C16B82D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8E1CAC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fldSimple w:instr=" NUMPAGES  ">
              <w:r w:rsidR="008E1CAC">
                <w:rPr>
                  <w:noProof/>
                </w:rPr>
                <w:t>2</w:t>
              </w:r>
            </w:fldSimple>
          </w:p>
        </w:sdtContent>
      </w:sdt>
    </w:sdtContent>
  </w:sdt>
  <w:p w14:paraId="6EA46B2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2F4D" w14:textId="77777777" w:rsidR="00440F63" w:rsidRDefault="00440F63" w:rsidP="00AF798B">
      <w:pPr>
        <w:spacing w:before="0" w:after="0"/>
      </w:pPr>
      <w:r>
        <w:separator/>
      </w:r>
    </w:p>
    <w:p w14:paraId="1589A412" w14:textId="77777777" w:rsidR="00440F63" w:rsidRDefault="00440F63"/>
  </w:footnote>
  <w:footnote w:type="continuationSeparator" w:id="0">
    <w:p w14:paraId="1ECF1C05" w14:textId="77777777" w:rsidR="00440F63" w:rsidRDefault="00440F63" w:rsidP="00AF798B">
      <w:pPr>
        <w:spacing w:before="0" w:after="0"/>
      </w:pPr>
      <w:r>
        <w:continuationSeparator/>
      </w:r>
    </w:p>
    <w:p w14:paraId="0A72B207" w14:textId="77777777" w:rsidR="00440F63" w:rsidRDefault="00440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D2E" w14:textId="5E542198" w:rsidR="005E338B" w:rsidRDefault="00DD546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C99AB2B" wp14:editId="60A4C2D0">
          <wp:simplePos x="0" y="0"/>
          <wp:positionH relativeFrom="column">
            <wp:posOffset>-170180</wp:posOffset>
          </wp:positionH>
          <wp:positionV relativeFrom="paragraph">
            <wp:posOffset>33919</wp:posOffset>
          </wp:positionV>
          <wp:extent cx="2469068" cy="745414"/>
          <wp:effectExtent l="0" t="0" r="7620" b="0"/>
          <wp:wrapSquare wrapText="bothSides"/>
          <wp:docPr id="2" name="Picture 2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0D0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583268" wp14:editId="2D926E77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HDR Roles and Tasks in the Data Portal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1E6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64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705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D4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EE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03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A9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A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6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245D3"/>
    <w:multiLevelType w:val="hybridMultilevel"/>
    <w:tmpl w:val="94D2A6D0"/>
    <w:lvl w:ilvl="0" w:tplc="10C840F6">
      <w:start w:val="1"/>
      <w:numFmt w:val="bullet"/>
      <w:pStyle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8883622"/>
    <w:multiLevelType w:val="hybridMultilevel"/>
    <w:tmpl w:val="C40EE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EB"/>
    <w:multiLevelType w:val="hybridMultilevel"/>
    <w:tmpl w:val="5AFCF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FC7"/>
    <w:multiLevelType w:val="hybridMultilevel"/>
    <w:tmpl w:val="AE742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051E"/>
    <w:multiLevelType w:val="hybridMultilevel"/>
    <w:tmpl w:val="DD8E167C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3473C"/>
    <w:multiLevelType w:val="hybridMultilevel"/>
    <w:tmpl w:val="00761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0731C"/>
    <w:multiLevelType w:val="hybridMultilevel"/>
    <w:tmpl w:val="8DFA1562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5CD38B7"/>
    <w:multiLevelType w:val="hybridMultilevel"/>
    <w:tmpl w:val="02BC2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0219">
    <w:abstractNumId w:val="16"/>
  </w:num>
  <w:num w:numId="2" w16cid:durableId="822813623">
    <w:abstractNumId w:val="14"/>
  </w:num>
  <w:num w:numId="3" w16cid:durableId="952591868">
    <w:abstractNumId w:val="19"/>
  </w:num>
  <w:num w:numId="4" w16cid:durableId="653066362">
    <w:abstractNumId w:val="14"/>
    <w:lvlOverride w:ilvl="0">
      <w:startOverride w:val="1"/>
    </w:lvlOverride>
  </w:num>
  <w:num w:numId="5" w16cid:durableId="2044790310">
    <w:abstractNumId w:val="14"/>
    <w:lvlOverride w:ilvl="0">
      <w:startOverride w:val="1"/>
    </w:lvlOverride>
  </w:num>
  <w:num w:numId="6" w16cid:durableId="1212308796">
    <w:abstractNumId w:val="14"/>
    <w:lvlOverride w:ilvl="0">
      <w:startOverride w:val="1"/>
    </w:lvlOverride>
  </w:num>
  <w:num w:numId="7" w16cid:durableId="61490080">
    <w:abstractNumId w:val="9"/>
  </w:num>
  <w:num w:numId="8" w16cid:durableId="1889536268">
    <w:abstractNumId w:val="7"/>
  </w:num>
  <w:num w:numId="9" w16cid:durableId="906107632">
    <w:abstractNumId w:val="6"/>
  </w:num>
  <w:num w:numId="10" w16cid:durableId="55010629">
    <w:abstractNumId w:val="5"/>
  </w:num>
  <w:num w:numId="11" w16cid:durableId="728191286">
    <w:abstractNumId w:val="4"/>
  </w:num>
  <w:num w:numId="12" w16cid:durableId="1284994655">
    <w:abstractNumId w:val="8"/>
  </w:num>
  <w:num w:numId="13" w16cid:durableId="370153643">
    <w:abstractNumId w:val="3"/>
  </w:num>
  <w:num w:numId="14" w16cid:durableId="1638140180">
    <w:abstractNumId w:val="2"/>
  </w:num>
  <w:num w:numId="15" w16cid:durableId="179978717">
    <w:abstractNumId w:val="1"/>
  </w:num>
  <w:num w:numId="16" w16cid:durableId="996113720">
    <w:abstractNumId w:val="0"/>
  </w:num>
  <w:num w:numId="17" w16cid:durableId="1467429718">
    <w:abstractNumId w:val="10"/>
  </w:num>
  <w:num w:numId="18" w16cid:durableId="1190339542">
    <w:abstractNumId w:val="12"/>
  </w:num>
  <w:num w:numId="19" w16cid:durableId="1935699841">
    <w:abstractNumId w:val="18"/>
  </w:num>
  <w:num w:numId="20" w16cid:durableId="1376739370">
    <w:abstractNumId w:val="15"/>
  </w:num>
  <w:num w:numId="21" w16cid:durableId="565183287">
    <w:abstractNumId w:val="17"/>
  </w:num>
  <w:num w:numId="22" w16cid:durableId="227496771">
    <w:abstractNumId w:val="13"/>
  </w:num>
  <w:num w:numId="23" w16cid:durableId="1484547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9A"/>
    <w:rsid w:val="00003743"/>
    <w:rsid w:val="000315F4"/>
    <w:rsid w:val="00053B63"/>
    <w:rsid w:val="00056198"/>
    <w:rsid w:val="00067456"/>
    <w:rsid w:val="00096111"/>
    <w:rsid w:val="000A0E12"/>
    <w:rsid w:val="000B0658"/>
    <w:rsid w:val="000B0C48"/>
    <w:rsid w:val="000E3CDD"/>
    <w:rsid w:val="000F4673"/>
    <w:rsid w:val="000F4A18"/>
    <w:rsid w:val="00100755"/>
    <w:rsid w:val="001205FB"/>
    <w:rsid w:val="00135C0E"/>
    <w:rsid w:val="00142C8D"/>
    <w:rsid w:val="001A6121"/>
    <w:rsid w:val="001B3443"/>
    <w:rsid w:val="00200606"/>
    <w:rsid w:val="002333A2"/>
    <w:rsid w:val="0028088D"/>
    <w:rsid w:val="002D4761"/>
    <w:rsid w:val="002E4840"/>
    <w:rsid w:val="0030786C"/>
    <w:rsid w:val="00313943"/>
    <w:rsid w:val="00316F6F"/>
    <w:rsid w:val="003318DE"/>
    <w:rsid w:val="003376A9"/>
    <w:rsid w:val="00371D1D"/>
    <w:rsid w:val="003C7A22"/>
    <w:rsid w:val="003D17F9"/>
    <w:rsid w:val="003D3A1F"/>
    <w:rsid w:val="003F26C8"/>
    <w:rsid w:val="00401922"/>
    <w:rsid w:val="00403E2D"/>
    <w:rsid w:val="0041771E"/>
    <w:rsid w:val="0042034D"/>
    <w:rsid w:val="00440F63"/>
    <w:rsid w:val="004611DC"/>
    <w:rsid w:val="00463FE9"/>
    <w:rsid w:val="004705A2"/>
    <w:rsid w:val="00481E18"/>
    <w:rsid w:val="00484451"/>
    <w:rsid w:val="004867E2"/>
    <w:rsid w:val="004B0826"/>
    <w:rsid w:val="004B66FC"/>
    <w:rsid w:val="00527C0F"/>
    <w:rsid w:val="005442E0"/>
    <w:rsid w:val="0057671C"/>
    <w:rsid w:val="0058320B"/>
    <w:rsid w:val="00586763"/>
    <w:rsid w:val="00595D07"/>
    <w:rsid w:val="005B16C5"/>
    <w:rsid w:val="005E338B"/>
    <w:rsid w:val="005F6BC3"/>
    <w:rsid w:val="00607DF1"/>
    <w:rsid w:val="00627C80"/>
    <w:rsid w:val="00632A7A"/>
    <w:rsid w:val="00665D42"/>
    <w:rsid w:val="00705BE7"/>
    <w:rsid w:val="00717564"/>
    <w:rsid w:val="007357FF"/>
    <w:rsid w:val="00761750"/>
    <w:rsid w:val="007813F0"/>
    <w:rsid w:val="007876D4"/>
    <w:rsid w:val="00792542"/>
    <w:rsid w:val="00793165"/>
    <w:rsid w:val="007C0624"/>
    <w:rsid w:val="007C4D6B"/>
    <w:rsid w:val="007F6326"/>
    <w:rsid w:val="007F6B84"/>
    <w:rsid w:val="008124D5"/>
    <w:rsid w:val="008201F9"/>
    <w:rsid w:val="008264EB"/>
    <w:rsid w:val="00832A80"/>
    <w:rsid w:val="00842772"/>
    <w:rsid w:val="0086094A"/>
    <w:rsid w:val="00867F5E"/>
    <w:rsid w:val="00871C17"/>
    <w:rsid w:val="0088285D"/>
    <w:rsid w:val="008D1D01"/>
    <w:rsid w:val="008D22B5"/>
    <w:rsid w:val="008D35FA"/>
    <w:rsid w:val="008D5CEF"/>
    <w:rsid w:val="008E1CAC"/>
    <w:rsid w:val="008F7AAF"/>
    <w:rsid w:val="009151D7"/>
    <w:rsid w:val="009174E2"/>
    <w:rsid w:val="009331AA"/>
    <w:rsid w:val="00981FB9"/>
    <w:rsid w:val="009B6ECF"/>
    <w:rsid w:val="009C621E"/>
    <w:rsid w:val="00A40925"/>
    <w:rsid w:val="00A4512D"/>
    <w:rsid w:val="00A50F31"/>
    <w:rsid w:val="00A6070D"/>
    <w:rsid w:val="00A705AF"/>
    <w:rsid w:val="00AD1806"/>
    <w:rsid w:val="00AD1CD6"/>
    <w:rsid w:val="00AF3AB0"/>
    <w:rsid w:val="00AF798B"/>
    <w:rsid w:val="00B13265"/>
    <w:rsid w:val="00B42851"/>
    <w:rsid w:val="00B508CE"/>
    <w:rsid w:val="00C500D0"/>
    <w:rsid w:val="00C6335F"/>
    <w:rsid w:val="00C72404"/>
    <w:rsid w:val="00C84175"/>
    <w:rsid w:val="00CA744D"/>
    <w:rsid w:val="00CB5B1A"/>
    <w:rsid w:val="00CE6727"/>
    <w:rsid w:val="00CF536F"/>
    <w:rsid w:val="00D039DE"/>
    <w:rsid w:val="00D14831"/>
    <w:rsid w:val="00D22D71"/>
    <w:rsid w:val="00D44C73"/>
    <w:rsid w:val="00D53109"/>
    <w:rsid w:val="00D65F09"/>
    <w:rsid w:val="00D66381"/>
    <w:rsid w:val="00D77A10"/>
    <w:rsid w:val="00DB29A4"/>
    <w:rsid w:val="00DD5469"/>
    <w:rsid w:val="00DF189B"/>
    <w:rsid w:val="00DF6B0E"/>
    <w:rsid w:val="00E15715"/>
    <w:rsid w:val="00E33F1E"/>
    <w:rsid w:val="00E50997"/>
    <w:rsid w:val="00E743AF"/>
    <w:rsid w:val="00E82C61"/>
    <w:rsid w:val="00E82EBE"/>
    <w:rsid w:val="00EB6A7A"/>
    <w:rsid w:val="00F0219A"/>
    <w:rsid w:val="00F03962"/>
    <w:rsid w:val="00F20DDB"/>
    <w:rsid w:val="00F32246"/>
    <w:rsid w:val="00F65E73"/>
    <w:rsid w:val="00F735B2"/>
    <w:rsid w:val="00F94D3C"/>
    <w:rsid w:val="00F95400"/>
    <w:rsid w:val="00F96D46"/>
    <w:rsid w:val="00FA3B8A"/>
    <w:rsid w:val="00FA494F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9C4BE"/>
  <w15:docId w15:val="{A2730E6A-2A93-4EDC-A607-583629DD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38B"/>
    <w:pPr>
      <w:spacing w:before="120"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Bullet">
    <w:name w:val="Bullet"/>
    <w:basedOn w:val="Normal"/>
    <w:link w:val="BulletChar"/>
    <w:qFormat/>
    <w:rsid w:val="005E338B"/>
    <w:pPr>
      <w:numPr>
        <w:numId w:val="17"/>
      </w:numPr>
    </w:pPr>
  </w:style>
  <w:style w:type="character" w:customStyle="1" w:styleId="BulletChar">
    <w:name w:val="Bullet Char"/>
    <w:link w:val="Bullet"/>
    <w:rsid w:val="005E338B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Heading2NoTOC">
    <w:name w:val="Heading 2 No TOC"/>
    <w:basedOn w:val="Heading2"/>
    <w:next w:val="BodyText"/>
    <w:link w:val="Heading2NoTOCChar"/>
    <w:rsid w:val="004705A2"/>
    <w:pPr>
      <w:spacing w:after="120"/>
    </w:pPr>
    <w:rPr>
      <w:rFonts w:cstheme="minorBidi"/>
      <w:i w:val="0"/>
      <w:color w:val="000000" w:themeColor="text1"/>
      <w:sz w:val="24"/>
      <w:lang w:bidi="en-US"/>
    </w:rPr>
  </w:style>
  <w:style w:type="character" w:customStyle="1" w:styleId="Heading2NoTOCChar">
    <w:name w:val="Heading 2 No TOC Char"/>
    <w:basedOn w:val="DefaultParagraphFont"/>
    <w:link w:val="Heading2NoTOC"/>
    <w:rsid w:val="004705A2"/>
    <w:rPr>
      <w:rFonts w:ascii="Arial" w:eastAsiaTheme="minorHAnsi" w:hAnsi="Arial" w:cstheme="minorBidi"/>
      <w:b/>
      <w:bCs/>
      <w:iCs/>
      <w:color w:val="000000" w:themeColor="text1"/>
      <w:sz w:val="24"/>
      <w:szCs w:val="28"/>
      <w:lang w:eastAsia="en-US" w:bidi="en-US"/>
    </w:rPr>
  </w:style>
  <w:style w:type="paragraph" w:styleId="BodyText">
    <w:name w:val="Body Text"/>
    <w:basedOn w:val="Normal"/>
    <w:link w:val="BodyTextChar"/>
    <w:semiHidden/>
    <w:unhideWhenUsed/>
    <w:rsid w:val="004705A2"/>
  </w:style>
  <w:style w:type="character" w:customStyle="1" w:styleId="BodyTextChar">
    <w:name w:val="Body Text Char"/>
    <w:basedOn w:val="DefaultParagraphFont"/>
    <w:link w:val="BodyText"/>
    <w:semiHidden/>
    <w:rsid w:val="004705A2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665</Words>
  <Characters>3342</Characters>
  <Application>Microsoft Office Word</Application>
  <DocSecurity>0</DocSecurity>
  <Lines>303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Health Data Reporting Roles and Functions in the Health Data Portal</vt:lpstr>
    </vt:vector>
  </TitlesOfParts>
  <Company>Department of Immigration and Border Protection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Health Data Reporting Roles and Functions in the Health Data Portal</dc:title>
  <dc:creator>Joel Dennerley</dc:creator>
  <cp:lastModifiedBy>DUNN, Stuart</cp:lastModifiedBy>
  <cp:revision>29</cp:revision>
  <dcterms:created xsi:type="dcterms:W3CDTF">2018-08-02T22:44:00Z</dcterms:created>
  <dcterms:modified xsi:type="dcterms:W3CDTF">2023-10-19T05:11:00Z</dcterms:modified>
</cp:coreProperties>
</file>