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C478" w14:textId="77777777" w:rsidR="00D14831" w:rsidRPr="00F735B2" w:rsidRDefault="00C65ADA" w:rsidP="00F735B2">
      <w:pPr>
        <w:pStyle w:val="QRGText"/>
        <w:sectPr w:rsidR="00D14831" w:rsidRPr="00F735B2" w:rsidSect="00316F6F">
          <w:headerReference w:type="default" r:id="rId7"/>
          <w:footerReference w:type="default" r:id="rId8"/>
          <w:pgSz w:w="11906" w:h="16838" w:code="9"/>
          <w:pgMar w:top="1702" w:right="849" w:bottom="851" w:left="567" w:header="284" w:footer="0" w:gutter="0"/>
          <w:cols w:space="708"/>
          <w:docGrid w:linePitch="360"/>
        </w:sectPr>
      </w:pPr>
      <w:r>
        <w:rPr>
          <w:rFonts w:ascii="Times New Roman" w:hAnsi="Times New Roman"/>
          <w:noProof/>
          <w:lang w:eastAsia="en-AU"/>
        </w:rPr>
        <mc:AlternateContent>
          <mc:Choice Requires="wps">
            <w:drawing>
              <wp:anchor distT="0" distB="0" distL="114300" distR="114300" simplePos="0" relativeHeight="251659264" behindDoc="0" locked="1" layoutInCell="1" allowOverlap="1" wp14:anchorId="33AAFA5D" wp14:editId="41539BA0">
                <wp:simplePos x="0" y="0"/>
                <wp:positionH relativeFrom="column">
                  <wp:posOffset>2755265</wp:posOffset>
                </wp:positionH>
                <wp:positionV relativeFrom="page">
                  <wp:posOffset>264795</wp:posOffset>
                </wp:positionV>
                <wp:extent cx="4147185" cy="784225"/>
                <wp:effectExtent l="0" t="0" r="0" b="0"/>
                <wp:wrapNone/>
                <wp:docPr id="17" name="Text Box 17"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84225"/>
                        </a:xfrm>
                        <a:prstGeom prst="rect">
                          <a:avLst/>
                        </a:prstGeom>
                        <a:noFill/>
                        <a:ln w="9525">
                          <a:noFill/>
                          <a:miter lim="800000"/>
                          <a:headEnd/>
                          <a:tailEnd/>
                        </a:ln>
                      </wps:spPr>
                      <wps:txbx>
                        <w:txbxContent>
                          <w:p w14:paraId="011E9AE5" w14:textId="77777777" w:rsidR="00C65ADA" w:rsidRPr="00566CBA" w:rsidRDefault="00892F9F" w:rsidP="00C65ADA">
                            <w:pPr>
                              <w:jc w:val="center"/>
                              <w:rPr>
                                <w:rFonts w:asciiTheme="minorHAnsi" w:hAnsiTheme="minorHAnsi"/>
                                <w:b/>
                                <w:sz w:val="36"/>
                                <w:szCs w:val="36"/>
                              </w:rPr>
                            </w:pPr>
                            <w:r>
                              <w:rPr>
                                <w:rFonts w:asciiTheme="minorHAnsi" w:hAnsiTheme="minorHAnsi"/>
                                <w:b/>
                                <w:sz w:val="36"/>
                                <w:szCs w:val="36"/>
                              </w:rPr>
                              <w:t xml:space="preserve">List of Approved </w:t>
                            </w:r>
                            <w:r w:rsidR="00E879CA">
                              <w:rPr>
                                <w:rFonts w:asciiTheme="minorHAnsi" w:hAnsiTheme="minorHAnsi"/>
                                <w:b/>
                                <w:sz w:val="36"/>
                                <w:szCs w:val="36"/>
                              </w:rPr>
                              <w:t>national Key Performance Indicators (</w:t>
                            </w:r>
                            <w:r>
                              <w:rPr>
                                <w:rFonts w:asciiTheme="minorHAnsi" w:hAnsiTheme="minorHAnsi"/>
                                <w:b/>
                                <w:sz w:val="36"/>
                                <w:szCs w:val="36"/>
                              </w:rPr>
                              <w:t>nKPIs</w:t>
                            </w:r>
                            <w:r w:rsidR="00E879CA">
                              <w:rPr>
                                <w:rFonts w:asciiTheme="minorHAnsi" w:hAnsiTheme="minorHAnsi"/>
                                <w:b/>
                                <w:sz w:val="36"/>
                                <w:szCs w:val="36"/>
                              </w:rPr>
                              <w:t>)</w:t>
                            </w:r>
                          </w:p>
                          <w:p w14:paraId="0E28E5A9" w14:textId="77777777" w:rsidR="00C65ADA" w:rsidRDefault="00C65ADA" w:rsidP="00C65AD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AFA5D" id="_x0000_t202" coordsize="21600,21600" o:spt="202" path="m,l,21600r21600,l21600,xe">
                <v:stroke joinstyle="miter"/>
                <v:path gradientshapeok="t" o:connecttype="rect"/>
              </v:shapetype>
              <v:shape id="Text Box 17" o:spid="_x0000_s1026" type="#_x0000_t202" alt="Title: Interim Processing of an IHDR Data Asset Submissio" style="position:absolute;margin-left:216.95pt;margin-top:20.85pt;width:326.55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" filled="f" stroked="f">
                <v:textbox>
                  <w:txbxContent>
                    <w:p w14:paraId="011E9AE5" w14:textId="77777777" w:rsidR="00C65ADA" w:rsidRPr="00566CBA" w:rsidRDefault="00892F9F" w:rsidP="00C65ADA">
                      <w:pPr>
                        <w:jc w:val="center"/>
                        <w:rPr>
                          <w:rFonts w:asciiTheme="minorHAnsi" w:hAnsiTheme="minorHAnsi"/>
                          <w:b/>
                          <w:sz w:val="36"/>
                          <w:szCs w:val="36"/>
                        </w:rPr>
                      </w:pPr>
                      <w:r>
                        <w:rPr>
                          <w:rFonts w:asciiTheme="minorHAnsi" w:hAnsiTheme="minorHAnsi"/>
                          <w:b/>
                          <w:sz w:val="36"/>
                          <w:szCs w:val="36"/>
                        </w:rPr>
                        <w:t xml:space="preserve">List of Approved </w:t>
                      </w:r>
                      <w:r w:rsidR="00E879CA">
                        <w:rPr>
                          <w:rFonts w:asciiTheme="minorHAnsi" w:hAnsiTheme="minorHAnsi"/>
                          <w:b/>
                          <w:sz w:val="36"/>
                          <w:szCs w:val="36"/>
                        </w:rPr>
                        <w:t>national Key Performance Indicators (</w:t>
                      </w:r>
                      <w:r>
                        <w:rPr>
                          <w:rFonts w:asciiTheme="minorHAnsi" w:hAnsiTheme="minorHAnsi"/>
                          <w:b/>
                          <w:sz w:val="36"/>
                          <w:szCs w:val="36"/>
                        </w:rPr>
                        <w:t>nKPIs</w:t>
                      </w:r>
                      <w:r w:rsidR="00E879CA">
                        <w:rPr>
                          <w:rFonts w:asciiTheme="minorHAnsi" w:hAnsiTheme="minorHAnsi"/>
                          <w:b/>
                          <w:sz w:val="36"/>
                          <w:szCs w:val="36"/>
                        </w:rPr>
                        <w:t>)</w:t>
                      </w:r>
                    </w:p>
                    <w:p w14:paraId="0E28E5A9" w14:textId="77777777" w:rsidR="00C65ADA" w:rsidRDefault="00C65ADA" w:rsidP="00C65ADA">
                      <w:pPr>
                        <w:jc w:val="center"/>
                        <w:rPr>
                          <w:b/>
                          <w:sz w:val="36"/>
                          <w:szCs w:val="36"/>
                        </w:rPr>
                      </w:pPr>
                    </w:p>
                  </w:txbxContent>
                </v:textbox>
                <w10:wrap anchory="page"/>
                <w10:anchorlock/>
              </v:shape>
            </w:pict>
          </mc:Fallback>
        </mc:AlternateContent>
      </w:r>
    </w:p>
    <w:p w14:paraId="12D4F847" w14:textId="1EC66192" w:rsidR="0030718B" w:rsidRDefault="00E879CA" w:rsidP="0030718B">
      <w:pPr>
        <w:pStyle w:val="QRGText"/>
      </w:pPr>
      <w:r>
        <w:t>Currently</w:t>
      </w:r>
      <w:r w:rsidR="00C90B44">
        <w:t>,</w:t>
      </w:r>
      <w:r>
        <w:t xml:space="preserve"> there are </w:t>
      </w:r>
      <w:r w:rsidR="004332AF">
        <w:t>2</w:t>
      </w:r>
      <w:r w:rsidR="004C1D97">
        <w:t>1</w:t>
      </w:r>
      <w:r>
        <w:t xml:space="preserve"> indicators reported </w:t>
      </w:r>
      <w:r w:rsidR="00C90B44">
        <w:t>on by</w:t>
      </w:r>
      <w:r>
        <w:t xml:space="preserve"> </w:t>
      </w:r>
      <w:r w:rsidR="001662A0">
        <w:t>h</w:t>
      </w:r>
      <w:r>
        <w:t xml:space="preserve">ealth </w:t>
      </w:r>
      <w:r w:rsidR="001662A0">
        <w:t>s</w:t>
      </w:r>
      <w:r>
        <w:t>ervices</w:t>
      </w:r>
      <w:r w:rsidR="007A19D5">
        <w:t xml:space="preserve"> as part of six-monthly nKPI reporting. This reporting is conducted</w:t>
      </w:r>
      <w:r>
        <w:t xml:space="preserve"> through the Health Data Portal.</w:t>
      </w:r>
    </w:p>
    <w:p w14:paraId="0F45769D" w14:textId="717FB3D5" w:rsidR="00C90B44" w:rsidRDefault="00C90B44" w:rsidP="00C90B44">
      <w:pPr>
        <w:pStyle w:val="QRGText"/>
      </w:pPr>
      <w:r w:rsidRPr="00C90B44">
        <w:t xml:space="preserve">Further information on the indicators and detailed specifications can be found on the AIHW METeOR site @ </w:t>
      </w:r>
      <w:hyperlink r:id="rId9" w:history="1">
        <w:r w:rsidR="003D570D">
          <w:rPr>
            <w:rStyle w:val="Hyperlink"/>
          </w:rPr>
          <w:t>Indigenous Primary Health Care Key Performance Indicators</w:t>
        </w:r>
      </w:hyperlink>
      <w:r>
        <w:t xml:space="preserve"> or by contacting the AIHW on 1800 723 258.</w:t>
      </w:r>
    </w:p>
    <w:p w14:paraId="4B22DE5A" w14:textId="77777777" w:rsidR="00130ADA" w:rsidRDefault="00130ADA" w:rsidP="00C90B44">
      <w:pPr>
        <w:pStyle w:val="QRGText"/>
      </w:pPr>
    </w:p>
    <w:p w14:paraId="76E42F10" w14:textId="192F6DCC" w:rsidR="007A19D5" w:rsidRDefault="007A19D5" w:rsidP="00C90B44">
      <w:pPr>
        <w:pStyle w:val="QRGText"/>
      </w:pPr>
      <w:r>
        <w:t xml:space="preserve">The table below details each of the nKPIs </w:t>
      </w:r>
      <w:r w:rsidR="00B56AFD">
        <w:t>reported on</w:t>
      </w:r>
      <w:r>
        <w:t xml:space="preserve"> by </w:t>
      </w:r>
      <w:r w:rsidR="001662A0">
        <w:t>h</w:t>
      </w:r>
      <w:r>
        <w:t xml:space="preserve">ealth </w:t>
      </w:r>
      <w:r w:rsidR="001662A0">
        <w:t>s</w:t>
      </w:r>
      <w:r>
        <w:t>ervices when submitting their nKPI report.</w:t>
      </w:r>
    </w:p>
    <w:p w14:paraId="4B93EC85" w14:textId="5D4CFE23" w:rsidR="00130ADA" w:rsidRDefault="00130ADA" w:rsidP="00C90B44">
      <w:pPr>
        <w:pStyle w:val="QRGText"/>
      </w:pPr>
      <w:r w:rsidRPr="00F36D59">
        <w:rPr>
          <w:bCs/>
          <w:noProof/>
          <w:szCs w:val="20"/>
        </w:rPr>
        <w:drawing>
          <wp:inline distT="0" distB="0" distL="0" distR="0" wp14:anchorId="14F12CAB" wp14:editId="034B6A6D">
            <wp:extent cx="276225" cy="276225"/>
            <wp:effectExtent l="0" t="0" r="9525" b="9525"/>
            <wp:docPr id="18" name="Picture 18"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To see the indicators reported on by Maternal and Child Health services (M &amp; CH) see the </w:t>
      </w:r>
      <w:r w:rsidRPr="00130ADA">
        <w:rPr>
          <w:i/>
          <w:iCs/>
        </w:rPr>
        <w:t>Maternal and Child Health Services</w:t>
      </w:r>
      <w:r>
        <w:t xml:space="preserve"> table later in this guide.</w:t>
      </w:r>
    </w:p>
    <w:tbl>
      <w:tblPr>
        <w:tblStyle w:val="TableGrid"/>
        <w:tblW w:w="0" w:type="auto"/>
        <w:tblLook w:val="04A0" w:firstRow="1" w:lastRow="0" w:firstColumn="1" w:lastColumn="0" w:noHBand="0" w:noVBand="1"/>
        <w:tblDescription w:val="Table describing the fields on the screen and what needs to be entered into each field. The first column lists the field name and the second field describes what needs to go into each field."/>
      </w:tblPr>
      <w:tblGrid>
        <w:gridCol w:w="1271"/>
        <w:gridCol w:w="3119"/>
        <w:gridCol w:w="6090"/>
      </w:tblGrid>
      <w:tr w:rsidR="007A19D5" w14:paraId="49ACAA9B" w14:textId="77777777" w:rsidTr="00E47BEB">
        <w:trPr>
          <w:tblHeader/>
        </w:trPr>
        <w:tc>
          <w:tcPr>
            <w:tcW w:w="1271" w:type="dxa"/>
            <w:shd w:val="clear" w:color="auto" w:fill="00B0F0"/>
          </w:tcPr>
          <w:p w14:paraId="2AEE6456" w14:textId="77777777" w:rsidR="007A19D5" w:rsidRDefault="007A19D5" w:rsidP="00E47BEB">
            <w:pPr>
              <w:pStyle w:val="QRGTableHeading"/>
            </w:pPr>
            <w:r>
              <w:rPr>
                <w:color w:val="FFFFFF" w:themeColor="background1"/>
              </w:rPr>
              <w:t xml:space="preserve">nKPI </w:t>
            </w:r>
          </w:p>
        </w:tc>
        <w:tc>
          <w:tcPr>
            <w:tcW w:w="3119" w:type="dxa"/>
            <w:shd w:val="clear" w:color="auto" w:fill="00B0F0"/>
          </w:tcPr>
          <w:p w14:paraId="168C03E6" w14:textId="77777777" w:rsidR="007A19D5" w:rsidRPr="00392D4E" w:rsidRDefault="007A19D5" w:rsidP="00F873D5">
            <w:pPr>
              <w:pStyle w:val="QRGTableHeading"/>
              <w:rPr>
                <w:color w:val="FFFFFF" w:themeColor="background1"/>
              </w:rPr>
            </w:pPr>
            <w:r>
              <w:rPr>
                <w:color w:val="FFFFFF" w:themeColor="background1"/>
              </w:rPr>
              <w:t xml:space="preserve">Title </w:t>
            </w:r>
          </w:p>
        </w:tc>
        <w:tc>
          <w:tcPr>
            <w:tcW w:w="6090" w:type="dxa"/>
            <w:shd w:val="clear" w:color="auto" w:fill="00B0F0"/>
          </w:tcPr>
          <w:p w14:paraId="147E3B11" w14:textId="77777777" w:rsidR="007A19D5" w:rsidRPr="006B7216" w:rsidRDefault="007A19D5" w:rsidP="00F873D5">
            <w:pPr>
              <w:pStyle w:val="QRGTableHeading"/>
            </w:pPr>
            <w:r w:rsidRPr="00392D4E">
              <w:rPr>
                <w:color w:val="FFFFFF" w:themeColor="background1"/>
              </w:rPr>
              <w:t>Description</w:t>
            </w:r>
          </w:p>
        </w:tc>
      </w:tr>
      <w:tr w:rsidR="007A19D5" w14:paraId="2B06B5E6" w14:textId="77777777" w:rsidTr="00E47BEB">
        <w:tc>
          <w:tcPr>
            <w:tcW w:w="1271" w:type="dxa"/>
          </w:tcPr>
          <w:p w14:paraId="0019D554" w14:textId="77777777" w:rsidR="007A19D5" w:rsidRPr="007A19D5" w:rsidRDefault="007A19D5" w:rsidP="00F873D5">
            <w:pPr>
              <w:pStyle w:val="QRGTableTextLeft"/>
              <w:rPr>
                <w:b/>
                <w:szCs w:val="20"/>
              </w:rPr>
            </w:pPr>
            <w:r w:rsidRPr="007A19D5">
              <w:rPr>
                <w:b/>
                <w:szCs w:val="20"/>
              </w:rPr>
              <w:t>PI01</w:t>
            </w:r>
          </w:p>
        </w:tc>
        <w:tc>
          <w:tcPr>
            <w:tcW w:w="3119" w:type="dxa"/>
          </w:tcPr>
          <w:p w14:paraId="7A19A2E5" w14:textId="77777777" w:rsidR="007A19D5" w:rsidRDefault="007A19D5" w:rsidP="00F873D5">
            <w:pPr>
              <w:pStyle w:val="QRGTableTextLeft"/>
              <w:rPr>
                <w:szCs w:val="20"/>
              </w:rPr>
            </w:pPr>
            <w:r>
              <w:rPr>
                <w:szCs w:val="20"/>
              </w:rPr>
              <w:t>Birth weight recorded</w:t>
            </w:r>
          </w:p>
        </w:tc>
        <w:tc>
          <w:tcPr>
            <w:tcW w:w="6090" w:type="dxa"/>
          </w:tcPr>
          <w:p w14:paraId="448B31EA" w14:textId="207C8EA7" w:rsidR="007A19D5" w:rsidRPr="00305474" w:rsidRDefault="00AC467E" w:rsidP="006179DA">
            <w:pPr>
              <w:pStyle w:val="QRGTableTextLeft"/>
            </w:pPr>
            <w:r w:rsidRPr="00AC467E">
              <w:rPr>
                <w:szCs w:val="20"/>
              </w:rPr>
              <w:t xml:space="preserve">Number and proportion of Indigenous babies born within the previous 12 months </w:t>
            </w:r>
            <w:r w:rsidR="006179DA">
              <w:rPr>
                <w:szCs w:val="20"/>
              </w:rPr>
              <w:t>who attended the organisation more than once, whose birth</w:t>
            </w:r>
            <w:r w:rsidR="00E63CD7">
              <w:rPr>
                <w:szCs w:val="20"/>
              </w:rPr>
              <w:t xml:space="preserve"> </w:t>
            </w:r>
            <w:r w:rsidR="006179DA">
              <w:rPr>
                <w:szCs w:val="20"/>
              </w:rPr>
              <w:t>weight has been recorded</w:t>
            </w:r>
            <w:r w:rsidRPr="00AC467E">
              <w:rPr>
                <w:szCs w:val="20"/>
              </w:rPr>
              <w:t xml:space="preserve"> at the primary health care service.</w:t>
            </w:r>
          </w:p>
        </w:tc>
      </w:tr>
      <w:tr w:rsidR="007A19D5" w14:paraId="0221A936" w14:textId="77777777" w:rsidTr="00E47BEB">
        <w:tc>
          <w:tcPr>
            <w:tcW w:w="1271" w:type="dxa"/>
          </w:tcPr>
          <w:p w14:paraId="3B7D14DE" w14:textId="77777777" w:rsidR="007A19D5" w:rsidRPr="007A19D5" w:rsidRDefault="007A19D5" w:rsidP="00F873D5">
            <w:pPr>
              <w:pStyle w:val="QRGTableTextLeft"/>
              <w:rPr>
                <w:b/>
                <w:szCs w:val="20"/>
              </w:rPr>
            </w:pPr>
            <w:r w:rsidRPr="007A19D5">
              <w:rPr>
                <w:b/>
                <w:szCs w:val="20"/>
              </w:rPr>
              <w:t>PI02</w:t>
            </w:r>
          </w:p>
        </w:tc>
        <w:tc>
          <w:tcPr>
            <w:tcW w:w="3119" w:type="dxa"/>
          </w:tcPr>
          <w:p w14:paraId="48965A18" w14:textId="77777777" w:rsidR="007A19D5" w:rsidRPr="00340233" w:rsidRDefault="00E47BEB" w:rsidP="00F873D5">
            <w:pPr>
              <w:pStyle w:val="QRGTableTextLeft"/>
            </w:pPr>
            <w:r>
              <w:t>Birth weight result</w:t>
            </w:r>
          </w:p>
        </w:tc>
        <w:tc>
          <w:tcPr>
            <w:tcW w:w="6090" w:type="dxa"/>
          </w:tcPr>
          <w:p w14:paraId="4B0B3591" w14:textId="1779FB04" w:rsidR="00AC467E" w:rsidRPr="00AC467E" w:rsidRDefault="00AC467E" w:rsidP="00AC467E">
            <w:pPr>
              <w:pStyle w:val="QRGTableTextLeft"/>
              <w:rPr>
                <w:szCs w:val="20"/>
              </w:rPr>
            </w:pPr>
            <w:r w:rsidRPr="00AC467E">
              <w:rPr>
                <w:szCs w:val="20"/>
              </w:rPr>
              <w:t>Number and proportion of Indigenous babies bor</w:t>
            </w:r>
            <w:r w:rsidR="006179DA">
              <w:rPr>
                <w:szCs w:val="20"/>
              </w:rPr>
              <w:t xml:space="preserve">n within the previous 12 months, who attended the </w:t>
            </w:r>
            <w:r w:rsidR="00B56AFD">
              <w:rPr>
                <w:szCs w:val="20"/>
              </w:rPr>
              <w:t>service</w:t>
            </w:r>
            <w:r w:rsidR="006179DA">
              <w:rPr>
                <w:szCs w:val="20"/>
              </w:rPr>
              <w:t xml:space="preserve"> more than once, </w:t>
            </w:r>
            <w:r w:rsidRPr="00AC467E">
              <w:rPr>
                <w:szCs w:val="20"/>
              </w:rPr>
              <w:t>whose birth weight results were categorised as one of the following:</w:t>
            </w:r>
          </w:p>
          <w:p w14:paraId="0812D645" w14:textId="18707406" w:rsidR="00AC467E" w:rsidRPr="00AC467E" w:rsidRDefault="00A127EA" w:rsidP="00D036DA">
            <w:pPr>
              <w:pStyle w:val="QRGTableTextLeft"/>
              <w:numPr>
                <w:ilvl w:val="0"/>
                <w:numId w:val="6"/>
              </w:numPr>
              <w:rPr>
                <w:szCs w:val="20"/>
              </w:rPr>
            </w:pPr>
            <w:r>
              <w:rPr>
                <w:szCs w:val="20"/>
              </w:rPr>
              <w:t>Low (less than 2,500 grams)</w:t>
            </w:r>
          </w:p>
          <w:p w14:paraId="55B2B955" w14:textId="2D1FCB25" w:rsidR="00AC467E" w:rsidRPr="00AC467E" w:rsidRDefault="00AC467E" w:rsidP="00D036DA">
            <w:pPr>
              <w:pStyle w:val="QRGTableTextLeft"/>
              <w:numPr>
                <w:ilvl w:val="0"/>
                <w:numId w:val="6"/>
              </w:numPr>
              <w:rPr>
                <w:szCs w:val="20"/>
              </w:rPr>
            </w:pPr>
            <w:r w:rsidRPr="00AC467E">
              <w:rPr>
                <w:szCs w:val="20"/>
              </w:rPr>
              <w:t>Normal (2,500 grams to less than 4,500 grams)</w:t>
            </w:r>
          </w:p>
          <w:p w14:paraId="447CC86C" w14:textId="77777777" w:rsidR="007A19D5" w:rsidRPr="006B7216" w:rsidRDefault="00AC467E" w:rsidP="00D036DA">
            <w:pPr>
              <w:pStyle w:val="QRGTableTextLeft"/>
              <w:numPr>
                <w:ilvl w:val="0"/>
                <w:numId w:val="5"/>
              </w:numPr>
              <w:rPr>
                <w:szCs w:val="20"/>
              </w:rPr>
            </w:pPr>
            <w:r w:rsidRPr="00AC467E">
              <w:rPr>
                <w:szCs w:val="20"/>
              </w:rPr>
              <w:t>High (4,500 grams and over).</w:t>
            </w:r>
          </w:p>
        </w:tc>
      </w:tr>
      <w:tr w:rsidR="007A19D5" w14:paraId="2B6EA6C3" w14:textId="77777777" w:rsidTr="004F37C0">
        <w:tc>
          <w:tcPr>
            <w:tcW w:w="1271" w:type="dxa"/>
            <w:tcBorders>
              <w:bottom w:val="single" w:sz="4" w:space="0" w:color="auto"/>
            </w:tcBorders>
          </w:tcPr>
          <w:p w14:paraId="60652527" w14:textId="77777777" w:rsidR="007A19D5" w:rsidRPr="007A19D5" w:rsidRDefault="007A19D5" w:rsidP="00F873D5">
            <w:pPr>
              <w:pStyle w:val="QRGTableTextLeft"/>
              <w:rPr>
                <w:b/>
                <w:szCs w:val="20"/>
              </w:rPr>
            </w:pPr>
            <w:r w:rsidRPr="007A19D5">
              <w:rPr>
                <w:b/>
                <w:szCs w:val="20"/>
              </w:rPr>
              <w:t>PI03</w:t>
            </w:r>
          </w:p>
        </w:tc>
        <w:tc>
          <w:tcPr>
            <w:tcW w:w="3119" w:type="dxa"/>
            <w:tcBorders>
              <w:bottom w:val="single" w:sz="4" w:space="0" w:color="auto"/>
            </w:tcBorders>
          </w:tcPr>
          <w:p w14:paraId="234F2D47" w14:textId="77777777" w:rsidR="007A19D5" w:rsidRPr="00340233" w:rsidRDefault="00AE6ABA" w:rsidP="00F873D5">
            <w:pPr>
              <w:pStyle w:val="QRGTableTextLeft"/>
            </w:pPr>
            <w:r>
              <w:t>Health assessments</w:t>
            </w:r>
          </w:p>
        </w:tc>
        <w:tc>
          <w:tcPr>
            <w:tcW w:w="6090" w:type="dxa"/>
            <w:tcBorders>
              <w:bottom w:val="single" w:sz="4" w:space="0" w:color="auto"/>
            </w:tcBorders>
          </w:tcPr>
          <w:p w14:paraId="2F88BAAF" w14:textId="77777777" w:rsidR="007A19D5" w:rsidRPr="00305474" w:rsidRDefault="00AC467E" w:rsidP="006179DA">
            <w:pPr>
              <w:pStyle w:val="QRGTableTextLeft"/>
            </w:pPr>
            <w:r w:rsidRPr="00AC467E">
              <w:rPr>
                <w:szCs w:val="20"/>
              </w:rPr>
              <w:t>Number and proportion of regular clients who are Indigenous, aged 0-</w:t>
            </w:r>
            <w:r w:rsidR="003D570D">
              <w:rPr>
                <w:szCs w:val="20"/>
              </w:rPr>
              <w:t>1</w:t>
            </w:r>
            <w:r w:rsidRPr="00AC467E">
              <w:rPr>
                <w:szCs w:val="20"/>
              </w:rPr>
              <w:t xml:space="preserve">4 years and </w:t>
            </w:r>
            <w:r w:rsidR="006179DA">
              <w:rPr>
                <w:szCs w:val="20"/>
              </w:rPr>
              <w:t>had</w:t>
            </w:r>
            <w:r w:rsidRPr="00AC467E">
              <w:rPr>
                <w:szCs w:val="20"/>
              </w:rPr>
              <w:t xml:space="preserve"> a Health Assessment for Aboriginal and Torres Strait Islander People </w:t>
            </w:r>
            <w:r w:rsidR="006179DA">
              <w:rPr>
                <w:szCs w:val="20"/>
              </w:rPr>
              <w:t>completed</w:t>
            </w:r>
            <w:r w:rsidR="00435007">
              <w:rPr>
                <w:szCs w:val="20"/>
              </w:rPr>
              <w:t xml:space="preserve"> (both through</w:t>
            </w:r>
            <w:r w:rsidR="00433B62">
              <w:rPr>
                <w:szCs w:val="20"/>
              </w:rPr>
              <w:t xml:space="preserve"> </w:t>
            </w:r>
            <w:r w:rsidR="00435007" w:rsidRPr="00AE5E7C">
              <w:rPr>
                <w:i/>
                <w:szCs w:val="20"/>
              </w:rPr>
              <w:t>Telehealth</w:t>
            </w:r>
            <w:r w:rsidR="00435007">
              <w:rPr>
                <w:szCs w:val="20"/>
              </w:rPr>
              <w:t xml:space="preserve"> and </w:t>
            </w:r>
            <w:r w:rsidR="00435007" w:rsidRPr="00AE5E7C">
              <w:rPr>
                <w:i/>
                <w:szCs w:val="20"/>
              </w:rPr>
              <w:t>In Person</w:t>
            </w:r>
            <w:r w:rsidR="00435007">
              <w:rPr>
                <w:szCs w:val="20"/>
              </w:rPr>
              <w:t>)</w:t>
            </w:r>
            <w:r w:rsidRPr="00AC467E">
              <w:rPr>
                <w:szCs w:val="20"/>
              </w:rPr>
              <w:t xml:space="preserve"> within the previous 12 months AND number and proportion of regular cl</w:t>
            </w:r>
            <w:r w:rsidR="00435007">
              <w:rPr>
                <w:szCs w:val="20"/>
              </w:rPr>
              <w:t>ients who are Indigenous, aged 1</w:t>
            </w:r>
            <w:r w:rsidRPr="00AC467E">
              <w:rPr>
                <w:szCs w:val="20"/>
              </w:rPr>
              <w:t xml:space="preserve">5 years and over and </w:t>
            </w:r>
            <w:r w:rsidR="006179DA">
              <w:rPr>
                <w:szCs w:val="20"/>
              </w:rPr>
              <w:t>had</w:t>
            </w:r>
            <w:r w:rsidRPr="00AC467E">
              <w:rPr>
                <w:szCs w:val="20"/>
              </w:rPr>
              <w:t xml:space="preserve"> </w:t>
            </w:r>
            <w:r w:rsidR="00435007">
              <w:rPr>
                <w:szCs w:val="20"/>
              </w:rPr>
              <w:t>a</w:t>
            </w:r>
            <w:r w:rsidRPr="00AC467E">
              <w:rPr>
                <w:szCs w:val="20"/>
              </w:rPr>
              <w:t xml:space="preserve"> Health Assessment for Aboriginal and Torres Strait Islander People </w:t>
            </w:r>
            <w:r w:rsidR="006179DA">
              <w:rPr>
                <w:szCs w:val="20"/>
              </w:rPr>
              <w:t>completed</w:t>
            </w:r>
            <w:r w:rsidRPr="00AC467E">
              <w:rPr>
                <w:szCs w:val="20"/>
              </w:rPr>
              <w:t xml:space="preserve"> </w:t>
            </w:r>
            <w:r w:rsidR="00435007">
              <w:rPr>
                <w:szCs w:val="20"/>
              </w:rPr>
              <w:t xml:space="preserve">(both through </w:t>
            </w:r>
            <w:r w:rsidR="00435007" w:rsidRPr="00AE5E7C">
              <w:rPr>
                <w:i/>
                <w:szCs w:val="20"/>
              </w:rPr>
              <w:t>Telehealth</w:t>
            </w:r>
            <w:r w:rsidR="00435007">
              <w:rPr>
                <w:szCs w:val="20"/>
              </w:rPr>
              <w:t xml:space="preserve"> and </w:t>
            </w:r>
            <w:r w:rsidR="00435007" w:rsidRPr="00AE5E7C">
              <w:rPr>
                <w:i/>
                <w:szCs w:val="20"/>
              </w:rPr>
              <w:t>In Person</w:t>
            </w:r>
            <w:r w:rsidR="00435007">
              <w:rPr>
                <w:szCs w:val="20"/>
              </w:rPr>
              <w:t>)</w:t>
            </w:r>
            <w:r w:rsidR="00435007" w:rsidRPr="00AC467E">
              <w:rPr>
                <w:szCs w:val="20"/>
              </w:rPr>
              <w:t xml:space="preserve"> </w:t>
            </w:r>
            <w:r w:rsidRPr="00AC467E">
              <w:rPr>
                <w:szCs w:val="20"/>
              </w:rPr>
              <w:t>within the previous 24 months.</w:t>
            </w:r>
          </w:p>
        </w:tc>
      </w:tr>
      <w:tr w:rsidR="007A19D5" w14:paraId="5FDE69FD" w14:textId="77777777" w:rsidTr="004F37C0">
        <w:tc>
          <w:tcPr>
            <w:tcW w:w="1271" w:type="dxa"/>
            <w:shd w:val="clear" w:color="auto" w:fill="D9D9D9" w:themeFill="background1" w:themeFillShade="D9"/>
          </w:tcPr>
          <w:p w14:paraId="4F0062DA" w14:textId="77777777" w:rsidR="007A19D5" w:rsidRPr="007A19D5" w:rsidRDefault="007A19D5" w:rsidP="00F873D5">
            <w:pPr>
              <w:pStyle w:val="QRGTableTextLeft"/>
              <w:rPr>
                <w:b/>
                <w:szCs w:val="20"/>
              </w:rPr>
            </w:pPr>
            <w:r w:rsidRPr="007A19D5">
              <w:rPr>
                <w:b/>
                <w:szCs w:val="20"/>
              </w:rPr>
              <w:t>PI04</w:t>
            </w:r>
          </w:p>
        </w:tc>
        <w:tc>
          <w:tcPr>
            <w:tcW w:w="3119" w:type="dxa"/>
            <w:shd w:val="clear" w:color="auto" w:fill="D9D9D9" w:themeFill="background1" w:themeFillShade="D9"/>
          </w:tcPr>
          <w:p w14:paraId="5CDD2122" w14:textId="77777777" w:rsidR="007A19D5" w:rsidRPr="00340233" w:rsidRDefault="00E47BEB" w:rsidP="00F873D5">
            <w:pPr>
              <w:pStyle w:val="QRGTableTextLeft"/>
            </w:pPr>
            <w:r>
              <w:t>Child immunisation</w:t>
            </w:r>
          </w:p>
        </w:tc>
        <w:tc>
          <w:tcPr>
            <w:tcW w:w="6090" w:type="dxa"/>
            <w:shd w:val="clear" w:color="auto" w:fill="D9D9D9" w:themeFill="background1" w:themeFillShade="D9"/>
          </w:tcPr>
          <w:p w14:paraId="2A4CEA52" w14:textId="77777777" w:rsidR="006E4690" w:rsidRPr="006E4690" w:rsidRDefault="006E4690" w:rsidP="006E4690">
            <w:pPr>
              <w:pStyle w:val="QRGTableTextLeft"/>
              <w:rPr>
                <w:szCs w:val="20"/>
              </w:rPr>
            </w:pPr>
            <w:r w:rsidRPr="006E4690">
              <w:rPr>
                <w:szCs w:val="20"/>
              </w:rPr>
              <w:t xml:space="preserve">Number and proportion of Indigenous children who are regular clients, aged: </w:t>
            </w:r>
          </w:p>
          <w:p w14:paraId="63C624E0" w14:textId="049FF21A" w:rsidR="006E4690" w:rsidRPr="006E4690" w:rsidRDefault="006E4690" w:rsidP="00D036DA">
            <w:pPr>
              <w:pStyle w:val="QRGTableTextLeft"/>
              <w:numPr>
                <w:ilvl w:val="0"/>
                <w:numId w:val="4"/>
              </w:numPr>
              <w:rPr>
                <w:szCs w:val="20"/>
              </w:rPr>
            </w:pPr>
            <w:r w:rsidRPr="006E4690">
              <w:rPr>
                <w:szCs w:val="20"/>
              </w:rPr>
              <w:t>12 months to less than 24 months</w:t>
            </w:r>
          </w:p>
          <w:p w14:paraId="4381A474" w14:textId="2EA42B46" w:rsidR="006E4690" w:rsidRPr="006E4690" w:rsidRDefault="006E4690" w:rsidP="00D036DA">
            <w:pPr>
              <w:pStyle w:val="QRGTableTextLeft"/>
              <w:numPr>
                <w:ilvl w:val="0"/>
                <w:numId w:val="4"/>
              </w:numPr>
              <w:rPr>
                <w:szCs w:val="20"/>
              </w:rPr>
            </w:pPr>
            <w:r w:rsidRPr="006E4690">
              <w:rPr>
                <w:szCs w:val="20"/>
              </w:rPr>
              <w:t>24 months to less than 36 months</w:t>
            </w:r>
          </w:p>
          <w:p w14:paraId="5F8ED260" w14:textId="6B1CF4B1" w:rsidR="006E4690" w:rsidRPr="006E4690" w:rsidRDefault="006E4690" w:rsidP="00D036DA">
            <w:pPr>
              <w:pStyle w:val="QRGTableTextLeft"/>
              <w:numPr>
                <w:ilvl w:val="0"/>
                <w:numId w:val="4"/>
              </w:numPr>
              <w:rPr>
                <w:szCs w:val="20"/>
              </w:rPr>
            </w:pPr>
            <w:r w:rsidRPr="006E4690">
              <w:rPr>
                <w:szCs w:val="20"/>
              </w:rPr>
              <w:t>60 months to less than 72 months</w:t>
            </w:r>
          </w:p>
          <w:p w14:paraId="05299DB9" w14:textId="77777777" w:rsidR="007A19D5" w:rsidRDefault="006E4690" w:rsidP="00092EDD">
            <w:pPr>
              <w:pStyle w:val="QRGTableTextLeft"/>
              <w:ind w:left="315"/>
            </w:pPr>
            <w:r w:rsidRPr="006E4690">
              <w:rPr>
                <w:szCs w:val="20"/>
              </w:rPr>
              <w:t>and who are 'fully immunised'.</w:t>
            </w:r>
          </w:p>
          <w:p w14:paraId="28946473" w14:textId="2DDBCF96" w:rsidR="004F37C0" w:rsidRDefault="004F37C0" w:rsidP="00092EDD">
            <w:pPr>
              <w:pStyle w:val="QRGTableTextLeft"/>
              <w:rPr>
                <w:szCs w:val="20"/>
              </w:rPr>
            </w:pPr>
            <w:r w:rsidRPr="004F37C0">
              <w:rPr>
                <w:noProof/>
                <w:lang w:eastAsia="en-AU"/>
              </w:rPr>
              <w:drawing>
                <wp:inline distT="0" distB="0" distL="0" distR="0" wp14:anchorId="3F861ACC" wp14:editId="16BEDD80">
                  <wp:extent cx="276225" cy="276225"/>
                  <wp:effectExtent l="0" t="0" r="9525" b="9525"/>
                  <wp:docPr id="1" name="Picture 1"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sidRPr="004F37C0">
              <w:t xml:space="preserve"> The </w:t>
            </w:r>
            <w:r w:rsidRPr="001C60AA">
              <w:rPr>
                <w:i/>
                <w:iCs/>
              </w:rPr>
              <w:t>Child immunisation</w:t>
            </w:r>
            <w:r>
              <w:t xml:space="preserve"> indicator (PI04</w:t>
            </w:r>
            <w:r w:rsidRPr="004F37C0">
              <w:t>) has been hidden from the nKPI form</w:t>
            </w:r>
            <w:r w:rsidR="00092EDD">
              <w:t xml:space="preserve"> pending data from the Australian Immunisation Register (AIR) being added to the Clinical Information Systems to ensure more accurate and consistent data is stored.</w:t>
            </w:r>
          </w:p>
        </w:tc>
      </w:tr>
      <w:tr w:rsidR="007A19D5" w14:paraId="55510F46" w14:textId="77777777" w:rsidTr="00E47BEB">
        <w:tc>
          <w:tcPr>
            <w:tcW w:w="1271" w:type="dxa"/>
          </w:tcPr>
          <w:p w14:paraId="7295036C" w14:textId="77777777" w:rsidR="007A19D5" w:rsidRPr="007A19D5" w:rsidRDefault="007A19D5" w:rsidP="00F873D5">
            <w:pPr>
              <w:pStyle w:val="QRGTableTextLeft"/>
              <w:rPr>
                <w:b/>
                <w:szCs w:val="20"/>
              </w:rPr>
            </w:pPr>
            <w:r w:rsidRPr="007A19D5">
              <w:rPr>
                <w:b/>
                <w:szCs w:val="20"/>
              </w:rPr>
              <w:t>PI05</w:t>
            </w:r>
          </w:p>
        </w:tc>
        <w:tc>
          <w:tcPr>
            <w:tcW w:w="3119" w:type="dxa"/>
          </w:tcPr>
          <w:p w14:paraId="59B13161" w14:textId="77777777" w:rsidR="007A19D5" w:rsidRDefault="00E47BEB" w:rsidP="00F873D5">
            <w:pPr>
              <w:pStyle w:val="QRGTableTextLeft"/>
            </w:pPr>
            <w:r>
              <w:t>HbA1c recorded</w:t>
            </w:r>
          </w:p>
        </w:tc>
        <w:tc>
          <w:tcPr>
            <w:tcW w:w="6090" w:type="dxa"/>
          </w:tcPr>
          <w:p w14:paraId="7DC04CD9" w14:textId="77777777" w:rsidR="007A19D5" w:rsidRPr="00340233" w:rsidRDefault="006E4690" w:rsidP="00F873D5">
            <w:pPr>
              <w:pStyle w:val="QRGTableTextLeft"/>
            </w:pPr>
            <w:r w:rsidRPr="006E4690">
              <w:rPr>
                <w:szCs w:val="20"/>
              </w:rPr>
              <w:t>Number and proportion of regular clients who are Indigenous, have Type II diabetes and who have had an HbA1c measurement result recorded at the primary health ca</w:t>
            </w:r>
            <w:r>
              <w:rPr>
                <w:szCs w:val="20"/>
              </w:rPr>
              <w:t>re service within the previous six</w:t>
            </w:r>
            <w:r w:rsidRPr="006E4690">
              <w:rPr>
                <w:szCs w:val="20"/>
              </w:rPr>
              <w:t xml:space="preserve"> months AND number </w:t>
            </w:r>
            <w:r w:rsidRPr="006E4690">
              <w:rPr>
                <w:szCs w:val="20"/>
              </w:rPr>
              <w:lastRenderedPageBreak/>
              <w:t>and proportion of regular clients who are Indigenous, have Type II diabetes and who have had an HbA1c measurement result recorded at the primary health care service within the previous 12 months.</w:t>
            </w:r>
          </w:p>
        </w:tc>
      </w:tr>
      <w:tr w:rsidR="007A19D5" w14:paraId="2BD09637" w14:textId="77777777" w:rsidTr="00E47BEB">
        <w:tc>
          <w:tcPr>
            <w:tcW w:w="1271" w:type="dxa"/>
          </w:tcPr>
          <w:p w14:paraId="21C3E6BE" w14:textId="77777777" w:rsidR="007A19D5" w:rsidRPr="003375FD" w:rsidRDefault="003375FD" w:rsidP="00F873D5">
            <w:pPr>
              <w:pStyle w:val="QRGTableTextLeft"/>
              <w:rPr>
                <w:b/>
                <w:szCs w:val="20"/>
              </w:rPr>
            </w:pPr>
            <w:r w:rsidRPr="003375FD">
              <w:rPr>
                <w:b/>
                <w:szCs w:val="20"/>
              </w:rPr>
              <w:lastRenderedPageBreak/>
              <w:t>PI06</w:t>
            </w:r>
          </w:p>
        </w:tc>
        <w:tc>
          <w:tcPr>
            <w:tcW w:w="3119" w:type="dxa"/>
          </w:tcPr>
          <w:p w14:paraId="7377D997" w14:textId="77777777" w:rsidR="007A19D5" w:rsidRPr="008B6633" w:rsidRDefault="00E47BEB" w:rsidP="00E47BEB">
            <w:pPr>
              <w:pStyle w:val="QRGTableTextLeft"/>
            </w:pPr>
            <w:r>
              <w:t>HbA1c result</w:t>
            </w:r>
          </w:p>
        </w:tc>
        <w:tc>
          <w:tcPr>
            <w:tcW w:w="6090" w:type="dxa"/>
          </w:tcPr>
          <w:p w14:paraId="57E37C80" w14:textId="77777777" w:rsidR="006E4690" w:rsidRPr="006E4690" w:rsidRDefault="006E4690" w:rsidP="006E4690">
            <w:pPr>
              <w:pStyle w:val="QRGTableTextLeft"/>
              <w:rPr>
                <w:szCs w:val="20"/>
              </w:rPr>
            </w:pPr>
            <w:r w:rsidRPr="006E4690">
              <w:rPr>
                <w:szCs w:val="20"/>
              </w:rPr>
              <w:t>Number and proportion of regular clients who are Indigenous, have Type II diabetes and whose HbA1c measurement result, recor</w:t>
            </w:r>
            <w:r>
              <w:rPr>
                <w:szCs w:val="20"/>
              </w:rPr>
              <w:t>ded within either the previous six</w:t>
            </w:r>
            <w:r w:rsidRPr="006E4690">
              <w:rPr>
                <w:szCs w:val="20"/>
              </w:rPr>
              <w:t xml:space="preserve"> months or 12 months, was categorised as one of the following: </w:t>
            </w:r>
          </w:p>
          <w:p w14:paraId="4D2C2413" w14:textId="50E42974" w:rsidR="006E4690" w:rsidRPr="006E4690" w:rsidRDefault="006E4690" w:rsidP="00D036DA">
            <w:pPr>
              <w:pStyle w:val="QRGTableTextLeft"/>
              <w:numPr>
                <w:ilvl w:val="0"/>
                <w:numId w:val="4"/>
              </w:numPr>
              <w:rPr>
                <w:szCs w:val="20"/>
              </w:rPr>
            </w:pPr>
            <w:r w:rsidRPr="006E4690">
              <w:rPr>
                <w:szCs w:val="20"/>
              </w:rPr>
              <w:t>less than or equal to 7% (less than or equal to 53 mmol/mol) ^</w:t>
            </w:r>
          </w:p>
          <w:p w14:paraId="3170C41F" w14:textId="5C172A6B" w:rsidR="006E4690" w:rsidRPr="006E4690" w:rsidRDefault="00EF0662" w:rsidP="00D036DA">
            <w:pPr>
              <w:pStyle w:val="QRGTableTextLeft"/>
              <w:numPr>
                <w:ilvl w:val="0"/>
                <w:numId w:val="4"/>
              </w:numPr>
              <w:rPr>
                <w:szCs w:val="20"/>
              </w:rPr>
            </w:pPr>
            <w:r w:rsidRPr="008735DC">
              <w:rPr>
                <w:noProof/>
                <w:lang w:eastAsia="en-AU"/>
              </w:rPr>
              <mc:AlternateContent>
                <mc:Choice Requires="wps">
                  <w:drawing>
                    <wp:anchor distT="0" distB="0" distL="114300" distR="114300" simplePos="0" relativeHeight="251685888" behindDoc="0" locked="1" layoutInCell="1" allowOverlap="1" wp14:anchorId="7ECEC19B" wp14:editId="0CBD820E">
                      <wp:simplePos x="0" y="0"/>
                      <wp:positionH relativeFrom="column">
                        <wp:posOffset>-107950</wp:posOffset>
                      </wp:positionH>
                      <wp:positionV relativeFrom="page">
                        <wp:posOffset>-1713865</wp:posOffset>
                      </wp:positionV>
                      <wp:extent cx="4147185" cy="784225"/>
                      <wp:effectExtent l="0" t="0" r="0" b="0"/>
                      <wp:wrapNone/>
                      <wp:docPr id="11" name="Text Box 11"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84225"/>
                              </a:xfrm>
                              <a:prstGeom prst="rect">
                                <a:avLst/>
                              </a:prstGeom>
                              <a:noFill/>
                              <a:ln w="9525">
                                <a:noFill/>
                                <a:miter lim="800000"/>
                                <a:headEnd/>
                                <a:tailEnd/>
                              </a:ln>
                            </wps:spPr>
                            <wps:txbx>
                              <w:txbxContent>
                                <w:p w14:paraId="650C8166" w14:textId="77777777" w:rsidR="00EF0662" w:rsidRPr="00566CBA" w:rsidRDefault="00EF0662" w:rsidP="00EF0662">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2BCD194C" w14:textId="77777777" w:rsidR="00EF0662" w:rsidRDefault="00EF0662" w:rsidP="00EF0662">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EC19B" id="Text Box 11" o:spid="_x0000_s1027" type="#_x0000_t202" alt="Title: Interim Processing of an IHDR Data Asset Submissio" style="position:absolute;left:0;text-align:left;margin-left:-8.5pt;margin-top:-134.95pt;width:326.55pt;height:6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" filled="f" stroked="f">
                      <v:textbox>
                        <w:txbxContent>
                          <w:p w14:paraId="650C8166" w14:textId="77777777" w:rsidR="00EF0662" w:rsidRPr="00566CBA" w:rsidRDefault="00EF0662" w:rsidP="00EF0662">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2BCD194C" w14:textId="77777777" w:rsidR="00EF0662" w:rsidRDefault="00EF0662" w:rsidP="00EF0662">
                            <w:pPr>
                              <w:jc w:val="center"/>
                              <w:rPr>
                                <w:b/>
                                <w:sz w:val="36"/>
                                <w:szCs w:val="36"/>
                              </w:rPr>
                            </w:pPr>
                          </w:p>
                        </w:txbxContent>
                      </v:textbox>
                      <w10:wrap anchory="page"/>
                      <w10:anchorlock/>
                    </v:shape>
                  </w:pict>
                </mc:Fallback>
              </mc:AlternateContent>
            </w:r>
            <w:r w:rsidR="006E4690" w:rsidRPr="006E4690">
              <w:rPr>
                <w:szCs w:val="20"/>
              </w:rPr>
              <w:t xml:space="preserve">greater than 7% but less than or equal to 8% (greater than 53 mmol/mol but less than or equal to 64 mmol/mol) ^ </w:t>
            </w:r>
          </w:p>
          <w:p w14:paraId="4E209D39" w14:textId="7FC33E8F" w:rsidR="006E4690" w:rsidRPr="006E4690" w:rsidRDefault="006E4690" w:rsidP="00D036DA">
            <w:pPr>
              <w:pStyle w:val="QRGTableTextLeft"/>
              <w:numPr>
                <w:ilvl w:val="0"/>
                <w:numId w:val="4"/>
              </w:numPr>
              <w:rPr>
                <w:szCs w:val="20"/>
              </w:rPr>
            </w:pPr>
            <w:r w:rsidRPr="006E4690">
              <w:rPr>
                <w:szCs w:val="20"/>
              </w:rPr>
              <w:t>greater than 8% but less than 10% (greater than 64 mmol/mol but less than 86 mmol/mol) ^ or</w:t>
            </w:r>
          </w:p>
          <w:p w14:paraId="543C63E1" w14:textId="0043DF2D" w:rsidR="007A19D5" w:rsidRPr="0098164B" w:rsidRDefault="006E4690" w:rsidP="00D036DA">
            <w:pPr>
              <w:pStyle w:val="QRGTableTextLeft"/>
              <w:numPr>
                <w:ilvl w:val="0"/>
                <w:numId w:val="4"/>
              </w:numPr>
              <w:rPr>
                <w:szCs w:val="20"/>
              </w:rPr>
            </w:pPr>
            <w:r w:rsidRPr="006E4690">
              <w:rPr>
                <w:szCs w:val="20"/>
              </w:rPr>
              <w:t>greater than or equal to 10% (greater than or equal to 86 mmol/mol) ^</w:t>
            </w:r>
            <w:r w:rsidR="00F36D59">
              <w:rPr>
                <w:szCs w:val="20"/>
              </w:rPr>
              <w:t>.</w:t>
            </w:r>
          </w:p>
        </w:tc>
      </w:tr>
      <w:tr w:rsidR="003375FD" w14:paraId="3F63588E" w14:textId="77777777" w:rsidTr="004F37C0">
        <w:tc>
          <w:tcPr>
            <w:tcW w:w="1271" w:type="dxa"/>
            <w:tcBorders>
              <w:bottom w:val="single" w:sz="4" w:space="0" w:color="auto"/>
            </w:tcBorders>
          </w:tcPr>
          <w:p w14:paraId="7C1F8FE6" w14:textId="77777777" w:rsidR="003375FD" w:rsidRPr="003375FD" w:rsidRDefault="003375FD" w:rsidP="00F873D5">
            <w:pPr>
              <w:pStyle w:val="QRGTableTextLeft"/>
              <w:rPr>
                <w:b/>
                <w:szCs w:val="20"/>
              </w:rPr>
            </w:pPr>
            <w:r w:rsidRPr="003375FD">
              <w:rPr>
                <w:b/>
                <w:szCs w:val="20"/>
              </w:rPr>
              <w:t>PI07</w:t>
            </w:r>
          </w:p>
        </w:tc>
        <w:tc>
          <w:tcPr>
            <w:tcW w:w="3119" w:type="dxa"/>
            <w:tcBorders>
              <w:bottom w:val="single" w:sz="4" w:space="0" w:color="auto"/>
            </w:tcBorders>
          </w:tcPr>
          <w:p w14:paraId="61E0552D" w14:textId="77777777" w:rsidR="003375FD" w:rsidRPr="008B6633" w:rsidRDefault="00AE6ABA" w:rsidP="00F873D5">
            <w:pPr>
              <w:pStyle w:val="QRGTableTextLeft"/>
            </w:pPr>
            <w:r>
              <w:t>Chronic Disease Management Plan</w:t>
            </w:r>
          </w:p>
        </w:tc>
        <w:tc>
          <w:tcPr>
            <w:tcW w:w="6090" w:type="dxa"/>
            <w:tcBorders>
              <w:bottom w:val="single" w:sz="4" w:space="0" w:color="auto"/>
            </w:tcBorders>
          </w:tcPr>
          <w:p w14:paraId="76308B77" w14:textId="77777777" w:rsidR="003375FD" w:rsidRPr="0098164B" w:rsidRDefault="005C199D" w:rsidP="006179DA">
            <w:pPr>
              <w:pStyle w:val="QRGTableTextLeft"/>
              <w:rPr>
                <w:szCs w:val="20"/>
              </w:rPr>
            </w:pPr>
            <w:r w:rsidRPr="005C199D">
              <w:rPr>
                <w:szCs w:val="20"/>
              </w:rPr>
              <w:t xml:space="preserve">Number and proportion of regular clients who are Indigenous, have a chronic disease (Type II diabetes) and </w:t>
            </w:r>
            <w:r w:rsidR="006179DA">
              <w:rPr>
                <w:szCs w:val="20"/>
              </w:rPr>
              <w:t>had</w:t>
            </w:r>
            <w:r w:rsidRPr="005C199D">
              <w:rPr>
                <w:szCs w:val="20"/>
              </w:rPr>
              <w:t xml:space="preserve"> a </w:t>
            </w:r>
            <w:r w:rsidR="00642E87">
              <w:rPr>
                <w:szCs w:val="20"/>
              </w:rPr>
              <w:t>Chronic Disease</w:t>
            </w:r>
            <w:r w:rsidRPr="005C199D">
              <w:rPr>
                <w:szCs w:val="20"/>
              </w:rPr>
              <w:t xml:space="preserve"> Management Plan (MBS Item 721) </w:t>
            </w:r>
            <w:r w:rsidR="006179DA">
              <w:rPr>
                <w:szCs w:val="20"/>
              </w:rPr>
              <w:t>prepared</w:t>
            </w:r>
            <w:r w:rsidRPr="005C199D">
              <w:rPr>
                <w:szCs w:val="20"/>
              </w:rPr>
              <w:t xml:space="preserve"> within the previous 24 months.</w:t>
            </w:r>
          </w:p>
        </w:tc>
      </w:tr>
      <w:tr w:rsidR="009D4175" w14:paraId="2BFEB25C" w14:textId="77777777" w:rsidTr="004F37C0">
        <w:tc>
          <w:tcPr>
            <w:tcW w:w="1271" w:type="dxa"/>
            <w:shd w:val="clear" w:color="auto" w:fill="D9D9D9" w:themeFill="background1" w:themeFillShade="D9"/>
          </w:tcPr>
          <w:p w14:paraId="61491108" w14:textId="77777777" w:rsidR="009D4175" w:rsidRPr="003375FD" w:rsidRDefault="009D4175" w:rsidP="00F873D5">
            <w:pPr>
              <w:pStyle w:val="QRGTableTextLeft"/>
              <w:rPr>
                <w:b/>
                <w:szCs w:val="20"/>
              </w:rPr>
            </w:pPr>
            <w:r>
              <w:rPr>
                <w:b/>
                <w:szCs w:val="20"/>
              </w:rPr>
              <w:t>PI08</w:t>
            </w:r>
          </w:p>
        </w:tc>
        <w:tc>
          <w:tcPr>
            <w:tcW w:w="3119" w:type="dxa"/>
            <w:shd w:val="clear" w:color="auto" w:fill="D9D9D9" w:themeFill="background1" w:themeFillShade="D9"/>
          </w:tcPr>
          <w:p w14:paraId="4B1F4AC1" w14:textId="77777777" w:rsidR="009D4175" w:rsidRDefault="009D4175" w:rsidP="00F873D5">
            <w:pPr>
              <w:pStyle w:val="QRGTableTextLeft"/>
            </w:pPr>
            <w:r>
              <w:t>Team Care Arrangement (TCA)</w:t>
            </w:r>
          </w:p>
        </w:tc>
        <w:tc>
          <w:tcPr>
            <w:tcW w:w="6090" w:type="dxa"/>
            <w:shd w:val="clear" w:color="auto" w:fill="D9D9D9" w:themeFill="background1" w:themeFillShade="D9"/>
          </w:tcPr>
          <w:p w14:paraId="0A83A8B5" w14:textId="77777777" w:rsidR="008735DC" w:rsidRDefault="008735DC" w:rsidP="009D4175">
            <w:pPr>
              <w:pStyle w:val="QRGText"/>
            </w:pPr>
            <w:r w:rsidRPr="008735DC">
              <w:t>Number and proportion of regular clients who are Indigenous, have a chronic disease (Type II diabetes) and for whom a Team Care Arrangement (MBS Item 723) was claimed within the previous 24 months.</w:t>
            </w:r>
          </w:p>
          <w:p w14:paraId="77EBCC04" w14:textId="57D363AC" w:rsidR="009D4175" w:rsidRPr="009D4175" w:rsidRDefault="008735DC" w:rsidP="009D4175">
            <w:pPr>
              <w:pStyle w:val="QRGText"/>
            </w:pPr>
            <w:r w:rsidRPr="009D4175">
              <w:rPr>
                <w:noProof/>
                <w:lang w:eastAsia="en-AU"/>
              </w:rPr>
              <w:drawing>
                <wp:inline distT="0" distB="0" distL="0" distR="0" wp14:anchorId="24CC8822" wp14:editId="558F3ADF">
                  <wp:extent cx="276225" cy="276225"/>
                  <wp:effectExtent l="0" t="0" r="9525" b="9525"/>
                  <wp:docPr id="12" name="Picture 12"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w:t>
            </w:r>
            <w:r w:rsidR="009D4175">
              <w:t xml:space="preserve">The </w:t>
            </w:r>
            <w:r w:rsidR="009D4175" w:rsidRPr="001C60AA">
              <w:rPr>
                <w:i/>
                <w:iCs/>
              </w:rPr>
              <w:t>Team Care Arrangement (TCA)</w:t>
            </w:r>
            <w:r w:rsidR="009D4175">
              <w:t xml:space="preserve"> indicator (PI08) has been hidden from the nKPI form </w:t>
            </w:r>
            <w:r w:rsidR="00780367">
              <w:t>since</w:t>
            </w:r>
            <w:r w:rsidR="009D4175">
              <w:t xml:space="preserve"> January 2021. The data previously captured through this indicator has proved to be very similar to that captured through PI07, so PI08 is no longer needed.</w:t>
            </w:r>
          </w:p>
        </w:tc>
      </w:tr>
      <w:tr w:rsidR="003375FD" w14:paraId="2F0480D3" w14:textId="77777777" w:rsidTr="00E47BEB">
        <w:tc>
          <w:tcPr>
            <w:tcW w:w="1271" w:type="dxa"/>
          </w:tcPr>
          <w:p w14:paraId="650D4577" w14:textId="77777777" w:rsidR="003375FD" w:rsidRPr="003375FD" w:rsidRDefault="003375FD" w:rsidP="00F873D5">
            <w:pPr>
              <w:pStyle w:val="QRGTableTextLeft"/>
              <w:rPr>
                <w:b/>
                <w:szCs w:val="20"/>
              </w:rPr>
            </w:pPr>
            <w:r w:rsidRPr="003375FD">
              <w:rPr>
                <w:b/>
                <w:szCs w:val="20"/>
              </w:rPr>
              <w:t>PI09</w:t>
            </w:r>
          </w:p>
        </w:tc>
        <w:tc>
          <w:tcPr>
            <w:tcW w:w="3119" w:type="dxa"/>
          </w:tcPr>
          <w:p w14:paraId="492EE276" w14:textId="77777777" w:rsidR="003375FD" w:rsidRPr="008B6633" w:rsidRDefault="00E47BEB" w:rsidP="00F873D5">
            <w:pPr>
              <w:pStyle w:val="QRGTableTextLeft"/>
            </w:pPr>
            <w:r>
              <w:t>Smoking status recorded</w:t>
            </w:r>
            <w:r w:rsidR="00613037">
              <w:t xml:space="preserve"> </w:t>
            </w:r>
          </w:p>
        </w:tc>
        <w:tc>
          <w:tcPr>
            <w:tcW w:w="6090" w:type="dxa"/>
          </w:tcPr>
          <w:p w14:paraId="26B2A8DA" w14:textId="77777777" w:rsidR="003375FD" w:rsidRPr="0098164B" w:rsidRDefault="005C199D" w:rsidP="00F873D5">
            <w:pPr>
              <w:pStyle w:val="QRGTableTextLeft"/>
              <w:rPr>
                <w:szCs w:val="20"/>
              </w:rPr>
            </w:pPr>
            <w:r w:rsidRPr="005C199D">
              <w:rPr>
                <w:szCs w:val="20"/>
              </w:rPr>
              <w:t xml:space="preserve">Number and proportion of regular clients who are </w:t>
            </w:r>
            <w:r w:rsidR="004F37C0">
              <w:rPr>
                <w:szCs w:val="20"/>
              </w:rPr>
              <w:t>Indigenous, aged 11</w:t>
            </w:r>
            <w:r w:rsidRPr="005C199D">
              <w:rPr>
                <w:szCs w:val="20"/>
              </w:rPr>
              <w:t xml:space="preserve"> years and over and whose smoking status has been recorded at the primary health care service.</w:t>
            </w:r>
          </w:p>
        </w:tc>
      </w:tr>
      <w:tr w:rsidR="003375FD" w14:paraId="475A6BAE" w14:textId="77777777" w:rsidTr="00E47BEB">
        <w:tc>
          <w:tcPr>
            <w:tcW w:w="1271" w:type="dxa"/>
          </w:tcPr>
          <w:p w14:paraId="5ACED905" w14:textId="77777777" w:rsidR="003375FD" w:rsidRPr="003375FD" w:rsidRDefault="003375FD" w:rsidP="00F873D5">
            <w:pPr>
              <w:pStyle w:val="QRGTableTextLeft"/>
              <w:rPr>
                <w:b/>
                <w:szCs w:val="20"/>
              </w:rPr>
            </w:pPr>
            <w:r w:rsidRPr="003375FD">
              <w:rPr>
                <w:b/>
                <w:szCs w:val="20"/>
              </w:rPr>
              <w:t>PI10</w:t>
            </w:r>
          </w:p>
        </w:tc>
        <w:tc>
          <w:tcPr>
            <w:tcW w:w="3119" w:type="dxa"/>
          </w:tcPr>
          <w:p w14:paraId="4C6881C3" w14:textId="77777777" w:rsidR="003375FD" w:rsidRPr="008B6633" w:rsidRDefault="00E47BEB" w:rsidP="00F873D5">
            <w:pPr>
              <w:pStyle w:val="QRGTableTextLeft"/>
            </w:pPr>
            <w:r>
              <w:t>Smoking status result</w:t>
            </w:r>
          </w:p>
        </w:tc>
        <w:tc>
          <w:tcPr>
            <w:tcW w:w="6090" w:type="dxa"/>
          </w:tcPr>
          <w:p w14:paraId="6046F3B9" w14:textId="77777777" w:rsidR="005C199D" w:rsidRPr="005C199D" w:rsidRDefault="005C199D" w:rsidP="005C199D">
            <w:pPr>
              <w:pStyle w:val="QRGTableTextLeft"/>
              <w:rPr>
                <w:szCs w:val="20"/>
              </w:rPr>
            </w:pPr>
            <w:r w:rsidRPr="005C199D">
              <w:rPr>
                <w:szCs w:val="20"/>
              </w:rPr>
              <w:t>Number and proportion of regular cli</w:t>
            </w:r>
            <w:r w:rsidR="004F37C0">
              <w:rPr>
                <w:szCs w:val="20"/>
              </w:rPr>
              <w:t>ents who are Indigenous, aged 11</w:t>
            </w:r>
            <w:r w:rsidRPr="005C199D">
              <w:rPr>
                <w:szCs w:val="20"/>
              </w:rPr>
              <w:t xml:space="preserve"> years and over and whose smoking status has been recorded as one of the following: </w:t>
            </w:r>
          </w:p>
          <w:p w14:paraId="1D00F0E7" w14:textId="058818FC" w:rsidR="005C199D" w:rsidRPr="005C199D" w:rsidRDefault="005C199D" w:rsidP="00D036DA">
            <w:pPr>
              <w:pStyle w:val="QRGTableTextLeft"/>
              <w:numPr>
                <w:ilvl w:val="0"/>
                <w:numId w:val="4"/>
              </w:numPr>
              <w:rPr>
                <w:szCs w:val="20"/>
              </w:rPr>
            </w:pPr>
            <w:r w:rsidRPr="005C199D">
              <w:rPr>
                <w:szCs w:val="20"/>
              </w:rPr>
              <w:t>current smoker</w:t>
            </w:r>
          </w:p>
          <w:p w14:paraId="48268896" w14:textId="77777777" w:rsidR="005C199D" w:rsidRPr="005C199D" w:rsidRDefault="005C199D" w:rsidP="00D036DA">
            <w:pPr>
              <w:pStyle w:val="QRGTableTextLeft"/>
              <w:numPr>
                <w:ilvl w:val="0"/>
                <w:numId w:val="4"/>
              </w:numPr>
              <w:rPr>
                <w:szCs w:val="20"/>
              </w:rPr>
            </w:pPr>
            <w:r w:rsidRPr="005C199D">
              <w:rPr>
                <w:szCs w:val="20"/>
              </w:rPr>
              <w:t xml:space="preserve">ex-smoker, or </w:t>
            </w:r>
          </w:p>
          <w:p w14:paraId="0952C4F4" w14:textId="77777777" w:rsidR="003375FD" w:rsidRPr="0098164B" w:rsidRDefault="005C199D" w:rsidP="00D036DA">
            <w:pPr>
              <w:pStyle w:val="QRGTableTextLeft"/>
              <w:numPr>
                <w:ilvl w:val="0"/>
                <w:numId w:val="4"/>
              </w:numPr>
              <w:rPr>
                <w:szCs w:val="20"/>
              </w:rPr>
            </w:pPr>
            <w:r w:rsidRPr="005C199D">
              <w:rPr>
                <w:szCs w:val="20"/>
              </w:rPr>
              <w:t>never smoked.</w:t>
            </w:r>
          </w:p>
        </w:tc>
      </w:tr>
      <w:tr w:rsidR="003375FD" w14:paraId="56E40000" w14:textId="77777777" w:rsidTr="00E47BEB">
        <w:tc>
          <w:tcPr>
            <w:tcW w:w="1271" w:type="dxa"/>
          </w:tcPr>
          <w:p w14:paraId="72E1BE09" w14:textId="77777777" w:rsidR="003375FD" w:rsidRPr="003375FD" w:rsidRDefault="003375FD" w:rsidP="00F873D5">
            <w:pPr>
              <w:pStyle w:val="QRGTableTextLeft"/>
              <w:rPr>
                <w:b/>
                <w:szCs w:val="20"/>
              </w:rPr>
            </w:pPr>
            <w:r w:rsidRPr="003375FD">
              <w:rPr>
                <w:b/>
                <w:szCs w:val="20"/>
              </w:rPr>
              <w:t>PI11</w:t>
            </w:r>
          </w:p>
        </w:tc>
        <w:tc>
          <w:tcPr>
            <w:tcW w:w="3119" w:type="dxa"/>
          </w:tcPr>
          <w:p w14:paraId="59445894" w14:textId="77777777" w:rsidR="003375FD" w:rsidRPr="008B6633" w:rsidRDefault="00E47BEB" w:rsidP="00F873D5">
            <w:pPr>
              <w:pStyle w:val="QRGTableTextLeft"/>
            </w:pPr>
            <w:r>
              <w:t>Smoking status result of women who gave birth</w:t>
            </w:r>
          </w:p>
        </w:tc>
        <w:tc>
          <w:tcPr>
            <w:tcW w:w="6090" w:type="dxa"/>
          </w:tcPr>
          <w:p w14:paraId="2E07029A" w14:textId="77777777" w:rsidR="005C199D" w:rsidRPr="006179DA" w:rsidRDefault="005C199D" w:rsidP="005C199D">
            <w:pPr>
              <w:rPr>
                <w:sz w:val="22"/>
                <w:szCs w:val="22"/>
              </w:rPr>
            </w:pPr>
            <w:r w:rsidRPr="006179DA">
              <w:rPr>
                <w:sz w:val="22"/>
                <w:szCs w:val="22"/>
              </w:rPr>
              <w:t xml:space="preserve">Number and proportion of regular clients who are Indigenous, </w:t>
            </w:r>
            <w:r w:rsidR="003F0A43" w:rsidRPr="006179DA">
              <w:rPr>
                <w:sz w:val="22"/>
                <w:szCs w:val="22"/>
              </w:rPr>
              <w:t>younger than 20, 20-</w:t>
            </w:r>
            <w:r w:rsidR="004F37C0" w:rsidRPr="006179DA">
              <w:rPr>
                <w:sz w:val="22"/>
                <w:szCs w:val="22"/>
              </w:rPr>
              <w:t>34 years old, or 35 years and older,</w:t>
            </w:r>
            <w:r w:rsidRPr="006179DA">
              <w:rPr>
                <w:sz w:val="22"/>
                <w:szCs w:val="22"/>
              </w:rPr>
              <w:t xml:space="preserve"> who gave birth within the previous 12 months </w:t>
            </w:r>
            <w:r w:rsidRPr="006179DA">
              <w:rPr>
                <w:sz w:val="22"/>
                <w:szCs w:val="22"/>
              </w:rPr>
              <w:lastRenderedPageBreak/>
              <w:t xml:space="preserve">and whose smoking status has been recorded as one of the following: </w:t>
            </w:r>
          </w:p>
          <w:p w14:paraId="5DFBA9CE" w14:textId="513337DD" w:rsidR="005C199D" w:rsidRPr="005C199D" w:rsidRDefault="005C199D" w:rsidP="00D036DA">
            <w:pPr>
              <w:pStyle w:val="QRGTableTextLeft"/>
              <w:numPr>
                <w:ilvl w:val="0"/>
                <w:numId w:val="4"/>
              </w:numPr>
              <w:rPr>
                <w:szCs w:val="20"/>
              </w:rPr>
            </w:pPr>
            <w:r w:rsidRPr="005C199D">
              <w:rPr>
                <w:szCs w:val="20"/>
              </w:rPr>
              <w:t xml:space="preserve">current smoker </w:t>
            </w:r>
          </w:p>
          <w:p w14:paraId="1AAE3834" w14:textId="77777777" w:rsidR="005C199D" w:rsidRPr="005C199D" w:rsidRDefault="005C199D" w:rsidP="00D036DA">
            <w:pPr>
              <w:pStyle w:val="QRGTableTextLeft"/>
              <w:numPr>
                <w:ilvl w:val="0"/>
                <w:numId w:val="4"/>
              </w:numPr>
              <w:rPr>
                <w:szCs w:val="20"/>
              </w:rPr>
            </w:pPr>
            <w:r w:rsidRPr="005C199D">
              <w:rPr>
                <w:szCs w:val="20"/>
              </w:rPr>
              <w:t xml:space="preserve">ex-smoker, or </w:t>
            </w:r>
          </w:p>
          <w:p w14:paraId="28AED9BD" w14:textId="77777777" w:rsidR="003375FD" w:rsidRPr="0098164B" w:rsidRDefault="005C199D" w:rsidP="00D036DA">
            <w:pPr>
              <w:pStyle w:val="QRGTableTextLeft"/>
              <w:numPr>
                <w:ilvl w:val="0"/>
                <w:numId w:val="4"/>
              </w:numPr>
              <w:rPr>
                <w:szCs w:val="20"/>
              </w:rPr>
            </w:pPr>
            <w:r w:rsidRPr="005C199D">
              <w:rPr>
                <w:szCs w:val="20"/>
              </w:rPr>
              <w:t>never smoked.</w:t>
            </w:r>
          </w:p>
        </w:tc>
      </w:tr>
      <w:tr w:rsidR="003375FD" w14:paraId="388334D2" w14:textId="77777777" w:rsidTr="00E47BEB">
        <w:tc>
          <w:tcPr>
            <w:tcW w:w="1271" w:type="dxa"/>
          </w:tcPr>
          <w:p w14:paraId="03E0DFC3" w14:textId="77777777" w:rsidR="003375FD" w:rsidRPr="00E47BEB" w:rsidRDefault="00E47BEB" w:rsidP="00F873D5">
            <w:pPr>
              <w:pStyle w:val="QRGTableTextLeft"/>
              <w:rPr>
                <w:b/>
                <w:szCs w:val="20"/>
              </w:rPr>
            </w:pPr>
            <w:r w:rsidRPr="00E47BEB">
              <w:rPr>
                <w:b/>
                <w:szCs w:val="20"/>
              </w:rPr>
              <w:lastRenderedPageBreak/>
              <w:t>PI12</w:t>
            </w:r>
          </w:p>
        </w:tc>
        <w:tc>
          <w:tcPr>
            <w:tcW w:w="3119" w:type="dxa"/>
          </w:tcPr>
          <w:p w14:paraId="64F4F48F" w14:textId="77777777" w:rsidR="003375FD" w:rsidRPr="008B6633" w:rsidRDefault="00E47BEB" w:rsidP="00F873D5">
            <w:pPr>
              <w:pStyle w:val="QRGTableTextLeft"/>
            </w:pPr>
            <w:r>
              <w:t>Body Mass Index</w:t>
            </w:r>
          </w:p>
        </w:tc>
        <w:tc>
          <w:tcPr>
            <w:tcW w:w="6090" w:type="dxa"/>
          </w:tcPr>
          <w:p w14:paraId="16120972" w14:textId="77777777" w:rsidR="003375FD" w:rsidRDefault="005C199D" w:rsidP="00F873D5">
            <w:pPr>
              <w:pStyle w:val="QRGTableTextLeft"/>
              <w:rPr>
                <w:szCs w:val="20"/>
              </w:rPr>
            </w:pPr>
            <w:r w:rsidRPr="005C199D">
              <w:rPr>
                <w:szCs w:val="20"/>
              </w:rPr>
              <w:t xml:space="preserve">Number and proportion of regular clients who are Indigenous, aged </w:t>
            </w:r>
            <w:r w:rsidR="00780367">
              <w:rPr>
                <w:szCs w:val="20"/>
              </w:rPr>
              <w:t>18</w:t>
            </w:r>
            <w:r w:rsidRPr="005C199D">
              <w:rPr>
                <w:szCs w:val="20"/>
              </w:rPr>
              <w:t xml:space="preserve"> years and over and who have had their BMI classified </w:t>
            </w:r>
            <w:r w:rsidR="00780367">
              <w:rPr>
                <w:szCs w:val="20"/>
              </w:rPr>
              <w:t>in</w:t>
            </w:r>
            <w:r w:rsidRPr="005C199D">
              <w:rPr>
                <w:szCs w:val="20"/>
              </w:rPr>
              <w:t xml:space="preserve"> </w:t>
            </w:r>
            <w:r w:rsidR="00780367">
              <w:rPr>
                <w:szCs w:val="20"/>
              </w:rPr>
              <w:t xml:space="preserve">one of the following categories </w:t>
            </w:r>
            <w:r w:rsidRPr="005C199D">
              <w:rPr>
                <w:szCs w:val="20"/>
              </w:rPr>
              <w:t>within the previous 24 months</w:t>
            </w:r>
            <w:r w:rsidR="00780367">
              <w:rPr>
                <w:szCs w:val="20"/>
              </w:rPr>
              <w:t>:</w:t>
            </w:r>
          </w:p>
          <w:p w14:paraId="24DA1DD1" w14:textId="34F2FB98" w:rsidR="00780367" w:rsidRDefault="00780367" w:rsidP="00780367">
            <w:pPr>
              <w:pStyle w:val="QRGTableTextLeft"/>
              <w:numPr>
                <w:ilvl w:val="0"/>
                <w:numId w:val="4"/>
              </w:numPr>
              <w:rPr>
                <w:szCs w:val="20"/>
              </w:rPr>
            </w:pPr>
            <w:r>
              <w:t>Underweight (BMI &lt; 18.5)</w:t>
            </w:r>
            <w:r w:rsidRPr="005C199D">
              <w:rPr>
                <w:szCs w:val="20"/>
              </w:rPr>
              <w:t xml:space="preserve"> </w:t>
            </w:r>
          </w:p>
          <w:p w14:paraId="01D7C45E" w14:textId="68AAB5AE" w:rsidR="00780367" w:rsidRDefault="00780367" w:rsidP="00780367">
            <w:pPr>
              <w:pStyle w:val="QRGTableTextLeft"/>
              <w:numPr>
                <w:ilvl w:val="0"/>
                <w:numId w:val="4"/>
              </w:numPr>
              <w:rPr>
                <w:szCs w:val="20"/>
              </w:rPr>
            </w:pPr>
            <w:r>
              <w:rPr>
                <w:szCs w:val="20"/>
              </w:rPr>
              <w:t xml:space="preserve">Normal Weight (BMI </w:t>
            </w:r>
            <w:r w:rsidRPr="00780367">
              <w:rPr>
                <w:szCs w:val="20"/>
              </w:rPr>
              <w:t>&gt;</w:t>
            </w:r>
            <w:r>
              <w:rPr>
                <w:szCs w:val="20"/>
              </w:rPr>
              <w:t>=</w:t>
            </w:r>
            <w:r w:rsidRPr="00780367">
              <w:rPr>
                <w:szCs w:val="20"/>
              </w:rPr>
              <w:t xml:space="preserve"> 18.5 </w:t>
            </w:r>
            <w:r>
              <w:rPr>
                <w:szCs w:val="20"/>
              </w:rPr>
              <w:t>&amp; &lt; 25)</w:t>
            </w:r>
          </w:p>
          <w:p w14:paraId="5A5510E0" w14:textId="7808CEA4" w:rsidR="00780367" w:rsidRDefault="00780367" w:rsidP="00780367">
            <w:pPr>
              <w:pStyle w:val="QRGTableTextLeft"/>
              <w:numPr>
                <w:ilvl w:val="0"/>
                <w:numId w:val="4"/>
              </w:numPr>
              <w:rPr>
                <w:szCs w:val="20"/>
              </w:rPr>
            </w:pPr>
            <w:r>
              <w:rPr>
                <w:szCs w:val="20"/>
              </w:rPr>
              <w:t>Overweight (BMI &gt;=25 &amp; &lt;30)</w:t>
            </w:r>
          </w:p>
          <w:p w14:paraId="2456FF0C" w14:textId="7B7FDC0A" w:rsidR="00780367" w:rsidRPr="00780367" w:rsidRDefault="00780367" w:rsidP="00F873D5">
            <w:pPr>
              <w:pStyle w:val="QRGTableTextLeft"/>
              <w:numPr>
                <w:ilvl w:val="0"/>
                <w:numId w:val="4"/>
              </w:numPr>
              <w:rPr>
                <w:szCs w:val="20"/>
              </w:rPr>
            </w:pPr>
            <w:r>
              <w:rPr>
                <w:szCs w:val="20"/>
              </w:rPr>
              <w:t>Obese (BMI &gt;=30)</w:t>
            </w:r>
            <w:r w:rsidR="00E63CD7">
              <w:rPr>
                <w:szCs w:val="20"/>
              </w:rPr>
              <w:t>.</w:t>
            </w:r>
          </w:p>
        </w:tc>
      </w:tr>
      <w:tr w:rsidR="003375FD" w14:paraId="6DB1283B" w14:textId="77777777" w:rsidTr="00E47BEB">
        <w:tc>
          <w:tcPr>
            <w:tcW w:w="1271" w:type="dxa"/>
          </w:tcPr>
          <w:p w14:paraId="1C8E1E61" w14:textId="77777777" w:rsidR="003375FD" w:rsidRPr="00E47BEB" w:rsidRDefault="00E47BEB" w:rsidP="00F873D5">
            <w:pPr>
              <w:pStyle w:val="QRGTableTextLeft"/>
              <w:rPr>
                <w:b/>
                <w:szCs w:val="20"/>
              </w:rPr>
            </w:pPr>
            <w:r w:rsidRPr="00E47BEB">
              <w:rPr>
                <w:b/>
                <w:szCs w:val="20"/>
              </w:rPr>
              <w:t>PI13</w:t>
            </w:r>
          </w:p>
        </w:tc>
        <w:tc>
          <w:tcPr>
            <w:tcW w:w="3119" w:type="dxa"/>
          </w:tcPr>
          <w:p w14:paraId="13302AA9" w14:textId="77777777" w:rsidR="003375FD" w:rsidRPr="008B6633" w:rsidRDefault="00E47BEB" w:rsidP="00F873D5">
            <w:pPr>
              <w:pStyle w:val="QRGTableTextLeft"/>
            </w:pPr>
            <w:r>
              <w:t>First antenatal care visit</w:t>
            </w:r>
          </w:p>
        </w:tc>
        <w:tc>
          <w:tcPr>
            <w:tcW w:w="6090" w:type="dxa"/>
          </w:tcPr>
          <w:p w14:paraId="39E14A72" w14:textId="77777777" w:rsidR="005C199D" w:rsidRPr="005C199D" w:rsidRDefault="005C199D" w:rsidP="005C199D">
            <w:pPr>
              <w:pStyle w:val="QRGTableTextLeft"/>
              <w:rPr>
                <w:szCs w:val="20"/>
              </w:rPr>
            </w:pPr>
            <w:r w:rsidRPr="005C199D">
              <w:rPr>
                <w:szCs w:val="20"/>
              </w:rPr>
              <w:t>Number and proportion of regular clients who are Indigenous, who gave birth within the previous 12 months and who had gestational age recorded</w:t>
            </w:r>
            <w:r w:rsidR="00642E87">
              <w:rPr>
                <w:szCs w:val="20"/>
              </w:rPr>
              <w:t xml:space="preserve"> at their first antenatal care </w:t>
            </w:r>
            <w:r w:rsidRPr="005C199D">
              <w:rPr>
                <w:szCs w:val="20"/>
              </w:rPr>
              <w:t>visit with results either:</w:t>
            </w:r>
          </w:p>
          <w:p w14:paraId="12F1C1F9" w14:textId="04EC6224" w:rsidR="005C199D" w:rsidRPr="005C199D" w:rsidRDefault="004F37C0" w:rsidP="00D036DA">
            <w:pPr>
              <w:pStyle w:val="QRGTableTextLeft"/>
              <w:numPr>
                <w:ilvl w:val="0"/>
                <w:numId w:val="4"/>
              </w:numPr>
              <w:rPr>
                <w:szCs w:val="20"/>
              </w:rPr>
            </w:pPr>
            <w:r>
              <w:t>before</w:t>
            </w:r>
            <w:r w:rsidR="005C199D" w:rsidRPr="005C199D">
              <w:rPr>
                <w:szCs w:val="20"/>
              </w:rPr>
              <w:t xml:space="preserve"> </w:t>
            </w:r>
            <w:r>
              <w:t>11</w:t>
            </w:r>
            <w:r w:rsidR="005C199D" w:rsidRPr="005C199D">
              <w:rPr>
                <w:szCs w:val="20"/>
              </w:rPr>
              <w:t xml:space="preserve"> weeks</w:t>
            </w:r>
            <w:r w:rsidR="00E63CD7">
              <w:rPr>
                <w:szCs w:val="20"/>
              </w:rPr>
              <w:t xml:space="preserve"> gestation</w:t>
            </w:r>
            <w:r w:rsidR="005C199D" w:rsidRPr="005C199D">
              <w:rPr>
                <w:szCs w:val="20"/>
              </w:rPr>
              <w:t xml:space="preserve"> </w:t>
            </w:r>
          </w:p>
          <w:p w14:paraId="5FAB16AA" w14:textId="7B7DBC97" w:rsidR="005C199D" w:rsidRPr="004F37C0" w:rsidRDefault="004F37C0" w:rsidP="00D036DA">
            <w:pPr>
              <w:pStyle w:val="QRGTableTextLeft"/>
              <w:numPr>
                <w:ilvl w:val="0"/>
                <w:numId w:val="4"/>
              </w:numPr>
              <w:rPr>
                <w:szCs w:val="20"/>
              </w:rPr>
            </w:pPr>
            <w:r>
              <w:t>11 to 13 weeks</w:t>
            </w:r>
          </w:p>
          <w:p w14:paraId="41917437" w14:textId="21B8F1EE" w:rsidR="004F37C0" w:rsidRPr="005C199D" w:rsidRDefault="004F37C0" w:rsidP="00D036DA">
            <w:pPr>
              <w:pStyle w:val="QRGTableTextLeft"/>
              <w:numPr>
                <w:ilvl w:val="0"/>
                <w:numId w:val="4"/>
              </w:numPr>
              <w:rPr>
                <w:szCs w:val="20"/>
              </w:rPr>
            </w:pPr>
            <w:r>
              <w:t>14 to 19 weeks</w:t>
            </w:r>
          </w:p>
          <w:p w14:paraId="04243082" w14:textId="4F2601B7" w:rsidR="005C199D" w:rsidRPr="005C199D" w:rsidRDefault="004F37C0" w:rsidP="00D036DA">
            <w:pPr>
              <w:pStyle w:val="QRGTableTextLeft"/>
              <w:numPr>
                <w:ilvl w:val="0"/>
                <w:numId w:val="4"/>
              </w:numPr>
              <w:rPr>
                <w:szCs w:val="20"/>
              </w:rPr>
            </w:pPr>
            <w:r>
              <w:t>20 weeks or later</w:t>
            </w:r>
            <w:r w:rsidR="005C199D" w:rsidRPr="005C199D">
              <w:rPr>
                <w:szCs w:val="20"/>
              </w:rPr>
              <w:t xml:space="preserve"> </w:t>
            </w:r>
          </w:p>
          <w:p w14:paraId="7B65AC7C" w14:textId="001CA38C" w:rsidR="003375FD" w:rsidRDefault="005C199D" w:rsidP="00D036DA">
            <w:pPr>
              <w:pStyle w:val="QRGTableTextLeft"/>
              <w:numPr>
                <w:ilvl w:val="0"/>
                <w:numId w:val="4"/>
              </w:numPr>
              <w:rPr>
                <w:szCs w:val="20"/>
              </w:rPr>
            </w:pPr>
            <w:r w:rsidRPr="005C199D">
              <w:rPr>
                <w:szCs w:val="20"/>
              </w:rPr>
              <w:t>no result</w:t>
            </w:r>
            <w:r w:rsidR="004F37C0">
              <w:t xml:space="preserve"> recorded</w:t>
            </w:r>
          </w:p>
          <w:p w14:paraId="06971945" w14:textId="77777777" w:rsidR="006179DA" w:rsidRPr="0098164B" w:rsidRDefault="006179DA" w:rsidP="00D036DA">
            <w:pPr>
              <w:pStyle w:val="QRGTableTextLeft"/>
              <w:numPr>
                <w:ilvl w:val="0"/>
                <w:numId w:val="4"/>
              </w:numPr>
              <w:rPr>
                <w:szCs w:val="20"/>
              </w:rPr>
            </w:pPr>
            <w:r>
              <w:rPr>
                <w:szCs w:val="20"/>
              </w:rPr>
              <w:t>did not attend an antenatal care visit.</w:t>
            </w:r>
          </w:p>
        </w:tc>
      </w:tr>
      <w:tr w:rsidR="00E47BEB" w14:paraId="0DEE66EB" w14:textId="77777777" w:rsidTr="00E47BEB">
        <w:tc>
          <w:tcPr>
            <w:tcW w:w="1271" w:type="dxa"/>
          </w:tcPr>
          <w:p w14:paraId="40615A2B" w14:textId="77777777" w:rsidR="00E47BEB" w:rsidRPr="00E47BEB" w:rsidRDefault="00E47BEB" w:rsidP="00F873D5">
            <w:pPr>
              <w:pStyle w:val="QRGTableTextLeft"/>
              <w:rPr>
                <w:b/>
                <w:szCs w:val="20"/>
              </w:rPr>
            </w:pPr>
            <w:r w:rsidRPr="00E47BEB">
              <w:rPr>
                <w:b/>
                <w:szCs w:val="20"/>
              </w:rPr>
              <w:t>PI14</w:t>
            </w:r>
          </w:p>
        </w:tc>
        <w:tc>
          <w:tcPr>
            <w:tcW w:w="3119" w:type="dxa"/>
          </w:tcPr>
          <w:p w14:paraId="71CCEB7A" w14:textId="77777777" w:rsidR="00E47BEB" w:rsidRPr="008B6633" w:rsidRDefault="00642E87" w:rsidP="00AE6ABA">
            <w:pPr>
              <w:pStyle w:val="QRGTableTextLeft"/>
            </w:pPr>
            <w:r>
              <w:t xml:space="preserve">Immunised against influenza </w:t>
            </w:r>
            <w:r w:rsidR="00AE6ABA">
              <w:t>6+ months</w:t>
            </w:r>
          </w:p>
        </w:tc>
        <w:tc>
          <w:tcPr>
            <w:tcW w:w="6090" w:type="dxa"/>
          </w:tcPr>
          <w:p w14:paraId="5D728893" w14:textId="77777777" w:rsidR="00E47BEB" w:rsidRPr="0098164B" w:rsidRDefault="005C199D" w:rsidP="00642E87">
            <w:pPr>
              <w:pStyle w:val="QRGTableTextLeft"/>
              <w:rPr>
                <w:szCs w:val="20"/>
              </w:rPr>
            </w:pPr>
            <w:r w:rsidRPr="005C199D">
              <w:rPr>
                <w:szCs w:val="20"/>
              </w:rPr>
              <w:t>Number and proportion of regular clients who are Indigenous, and who are immunised against influenza.</w:t>
            </w:r>
          </w:p>
        </w:tc>
      </w:tr>
      <w:tr w:rsidR="00E47BEB" w14:paraId="36E33270" w14:textId="77777777" w:rsidTr="001C60AA">
        <w:tc>
          <w:tcPr>
            <w:tcW w:w="1271" w:type="dxa"/>
            <w:shd w:val="clear" w:color="auto" w:fill="D9D9D9" w:themeFill="background1" w:themeFillShade="D9"/>
          </w:tcPr>
          <w:p w14:paraId="0DEEEDFC" w14:textId="77777777" w:rsidR="00E47BEB" w:rsidRPr="001C60AA" w:rsidRDefault="00E47BEB" w:rsidP="00F873D5">
            <w:pPr>
              <w:pStyle w:val="QRGTableTextLeft"/>
              <w:rPr>
                <w:b/>
                <w:szCs w:val="20"/>
              </w:rPr>
            </w:pPr>
            <w:r w:rsidRPr="001C60AA">
              <w:rPr>
                <w:b/>
                <w:szCs w:val="20"/>
              </w:rPr>
              <w:t>PI15</w:t>
            </w:r>
          </w:p>
        </w:tc>
        <w:tc>
          <w:tcPr>
            <w:tcW w:w="3119" w:type="dxa"/>
            <w:shd w:val="clear" w:color="auto" w:fill="D9D9D9" w:themeFill="background1" w:themeFillShade="D9"/>
          </w:tcPr>
          <w:p w14:paraId="222CA142" w14:textId="77777777" w:rsidR="00E47BEB" w:rsidRPr="001C60AA" w:rsidRDefault="00E47BEB" w:rsidP="00613037">
            <w:pPr>
              <w:pStyle w:val="QRGTableTextLeft"/>
            </w:pPr>
            <w:r w:rsidRPr="001C60AA">
              <w:t xml:space="preserve">Immunised against influenza – clients with </w:t>
            </w:r>
            <w:r w:rsidR="00613037" w:rsidRPr="001C60AA">
              <w:t>chronic disease</w:t>
            </w:r>
          </w:p>
        </w:tc>
        <w:tc>
          <w:tcPr>
            <w:tcW w:w="6090" w:type="dxa"/>
            <w:shd w:val="clear" w:color="auto" w:fill="D9D9D9" w:themeFill="background1" w:themeFillShade="D9"/>
          </w:tcPr>
          <w:p w14:paraId="2E23F72F" w14:textId="5DCA29CC" w:rsidR="00E47BEB" w:rsidRPr="001C60AA" w:rsidRDefault="00D036DA" w:rsidP="00F873D5">
            <w:pPr>
              <w:pStyle w:val="QRGTableTextLeft"/>
              <w:rPr>
                <w:szCs w:val="20"/>
              </w:rPr>
            </w:pPr>
            <w:r w:rsidRPr="001C60AA">
              <w:rPr>
                <w:szCs w:val="20"/>
              </w:rPr>
              <w:t xml:space="preserve">Number and proportion of regular clients </w:t>
            </w:r>
            <w:r w:rsidR="00F36D59" w:rsidRPr="001C60AA">
              <w:rPr>
                <w:rFonts w:ascii="Times New Roman" w:hAnsi="Times New Roman"/>
                <w:noProof/>
                <w:lang w:eastAsia="en-AU"/>
              </w:rPr>
              <mc:AlternateContent>
                <mc:Choice Requires="wps">
                  <w:drawing>
                    <wp:anchor distT="0" distB="0" distL="114300" distR="114300" simplePos="0" relativeHeight="251693056" behindDoc="0" locked="1" layoutInCell="1" allowOverlap="1" wp14:anchorId="2FB2639B" wp14:editId="2B84BFFF">
                      <wp:simplePos x="0" y="0"/>
                      <wp:positionH relativeFrom="column">
                        <wp:posOffset>-107950</wp:posOffset>
                      </wp:positionH>
                      <wp:positionV relativeFrom="page">
                        <wp:posOffset>-5758815</wp:posOffset>
                      </wp:positionV>
                      <wp:extent cx="4147185" cy="784225"/>
                      <wp:effectExtent l="0" t="0" r="0" b="0"/>
                      <wp:wrapNone/>
                      <wp:docPr id="6" name="Text Box 6"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84225"/>
                              </a:xfrm>
                              <a:prstGeom prst="rect">
                                <a:avLst/>
                              </a:prstGeom>
                              <a:noFill/>
                              <a:ln w="9525">
                                <a:noFill/>
                                <a:miter lim="800000"/>
                                <a:headEnd/>
                                <a:tailEnd/>
                              </a:ln>
                            </wps:spPr>
                            <wps:txbx>
                              <w:txbxContent>
                                <w:p w14:paraId="6DAA0934" w14:textId="77777777" w:rsidR="00F36D59" w:rsidRPr="00566CBA" w:rsidRDefault="00F36D59" w:rsidP="00F36D59">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2F2FF4AC" w14:textId="77777777" w:rsidR="00F36D59" w:rsidRDefault="00F36D59" w:rsidP="00F36D59">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2639B" id="Text Box 6" o:spid="_x0000_s1028" type="#_x0000_t202" alt="Title: Interim Processing of an IHDR Data Asset Submissio" style="position:absolute;margin-left:-8.5pt;margin-top:-453.45pt;width:326.55pt;height:6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" filled="f" stroked="f">
                      <v:textbox>
                        <w:txbxContent>
                          <w:p w14:paraId="6DAA0934" w14:textId="77777777" w:rsidR="00F36D59" w:rsidRPr="00566CBA" w:rsidRDefault="00F36D59" w:rsidP="00F36D59">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2F2FF4AC" w14:textId="77777777" w:rsidR="00F36D59" w:rsidRDefault="00F36D59" w:rsidP="00F36D59">
                            <w:pPr>
                              <w:jc w:val="center"/>
                              <w:rPr>
                                <w:b/>
                                <w:sz w:val="36"/>
                                <w:szCs w:val="36"/>
                              </w:rPr>
                            </w:pPr>
                          </w:p>
                        </w:txbxContent>
                      </v:textbox>
                      <w10:wrap anchory="page"/>
                      <w10:anchorlock/>
                    </v:shape>
                  </w:pict>
                </mc:Fallback>
              </mc:AlternateContent>
            </w:r>
            <w:r w:rsidRPr="001C60AA">
              <w:rPr>
                <w:szCs w:val="20"/>
              </w:rPr>
              <w:t xml:space="preserve">who are Indigenous, aged 15 </w:t>
            </w:r>
            <w:r w:rsidRPr="001C60AA">
              <w:rPr>
                <w:szCs w:val="20"/>
              </w:rPr>
              <w:noBreakHyphen/>
              <w:t xml:space="preserve"> 49 years, are recorded as having Type II diabetes or chronic obstructive pulmonary disease (COPD) and are immunised against influenza.</w:t>
            </w:r>
          </w:p>
          <w:p w14:paraId="25332A1C" w14:textId="6FD9CDB7" w:rsidR="001C60AA" w:rsidRPr="0098164B" w:rsidRDefault="001C60AA" w:rsidP="00F873D5">
            <w:pPr>
              <w:pStyle w:val="QRGTableTextLeft"/>
              <w:rPr>
                <w:szCs w:val="20"/>
              </w:rPr>
            </w:pPr>
            <w:r w:rsidRPr="001C60AA">
              <w:rPr>
                <w:noProof/>
                <w:lang w:eastAsia="en-AU"/>
              </w:rPr>
              <w:drawing>
                <wp:inline distT="0" distB="0" distL="0" distR="0" wp14:anchorId="721C70BE" wp14:editId="481E2002">
                  <wp:extent cx="276225" cy="276225"/>
                  <wp:effectExtent l="0" t="0" r="9525" b="9525"/>
                  <wp:docPr id="5" name="Picture 5"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sidRPr="001C60AA">
              <w:t xml:space="preserve"> The </w:t>
            </w:r>
            <w:r w:rsidRPr="001C60AA">
              <w:rPr>
                <w:i/>
                <w:iCs/>
              </w:rPr>
              <w:t xml:space="preserve">Immunised against influenza – clients with chronic disease </w:t>
            </w:r>
            <w:r w:rsidRPr="001C60AA">
              <w:t>indicator (PI</w:t>
            </w:r>
            <w:r>
              <w:t>15</w:t>
            </w:r>
            <w:r w:rsidRPr="001C60AA">
              <w:t xml:space="preserve">) has been hidden from the nKPI form </w:t>
            </w:r>
            <w:r w:rsidR="004A7CEA">
              <w:t>since</w:t>
            </w:r>
            <w:r w:rsidRPr="001C60AA">
              <w:t xml:space="preserve"> January 202</w:t>
            </w:r>
            <w:r>
              <w:t>2</w:t>
            </w:r>
            <w:r w:rsidRPr="001C60AA">
              <w:t xml:space="preserve">. </w:t>
            </w:r>
          </w:p>
        </w:tc>
      </w:tr>
      <w:tr w:rsidR="00E47BEB" w14:paraId="66F49C5B" w14:textId="77777777" w:rsidTr="00E47BEB">
        <w:tc>
          <w:tcPr>
            <w:tcW w:w="1271" w:type="dxa"/>
          </w:tcPr>
          <w:p w14:paraId="4512CA5B" w14:textId="77777777" w:rsidR="00E47BEB" w:rsidRPr="00E47BEB" w:rsidRDefault="00E47BEB" w:rsidP="00F873D5">
            <w:pPr>
              <w:pStyle w:val="QRGTableTextLeft"/>
              <w:rPr>
                <w:b/>
                <w:szCs w:val="20"/>
              </w:rPr>
            </w:pPr>
            <w:r w:rsidRPr="00E47BEB">
              <w:rPr>
                <w:b/>
                <w:szCs w:val="20"/>
              </w:rPr>
              <w:t>PI16</w:t>
            </w:r>
          </w:p>
        </w:tc>
        <w:tc>
          <w:tcPr>
            <w:tcW w:w="3119" w:type="dxa"/>
          </w:tcPr>
          <w:p w14:paraId="7CE9CC76" w14:textId="77777777" w:rsidR="00E47BEB" w:rsidRPr="008B6633" w:rsidRDefault="00E47BEB" w:rsidP="00F873D5">
            <w:pPr>
              <w:pStyle w:val="QRGTableTextLeft"/>
            </w:pPr>
            <w:r>
              <w:t>Alcohol consumption recorded</w:t>
            </w:r>
          </w:p>
        </w:tc>
        <w:tc>
          <w:tcPr>
            <w:tcW w:w="6090" w:type="dxa"/>
          </w:tcPr>
          <w:p w14:paraId="3055CF0B" w14:textId="77777777" w:rsidR="00E47BEB" w:rsidRPr="0098164B" w:rsidRDefault="00D036DA" w:rsidP="00F873D5">
            <w:pPr>
              <w:pStyle w:val="QRGTableTextLeft"/>
              <w:rPr>
                <w:szCs w:val="20"/>
              </w:rPr>
            </w:pPr>
            <w:r w:rsidRPr="00D036DA">
              <w:rPr>
                <w:szCs w:val="20"/>
              </w:rPr>
              <w:t>Number and proportion of regular clients who are Indigenous, aged 15 years and over and who have had their alcohol consumption status recorded at the primary health care service within the previous 24 months.</w:t>
            </w:r>
          </w:p>
        </w:tc>
      </w:tr>
      <w:tr w:rsidR="00E47BEB" w:rsidRPr="00E86813" w14:paraId="3FE330CF" w14:textId="77777777" w:rsidTr="00D835EF">
        <w:tc>
          <w:tcPr>
            <w:tcW w:w="1271" w:type="dxa"/>
            <w:shd w:val="clear" w:color="auto" w:fill="D9D9D9" w:themeFill="background1" w:themeFillShade="D9"/>
          </w:tcPr>
          <w:p w14:paraId="511F3436" w14:textId="77777777" w:rsidR="00E47BEB" w:rsidRPr="00D835EF" w:rsidRDefault="00E47BEB" w:rsidP="00F873D5">
            <w:pPr>
              <w:pStyle w:val="QRGTableTextLeft"/>
              <w:rPr>
                <w:b/>
                <w:bCs/>
                <w:szCs w:val="20"/>
              </w:rPr>
            </w:pPr>
            <w:r w:rsidRPr="00D835EF">
              <w:rPr>
                <w:b/>
                <w:bCs/>
                <w:szCs w:val="20"/>
              </w:rPr>
              <w:t>PI17</w:t>
            </w:r>
          </w:p>
        </w:tc>
        <w:tc>
          <w:tcPr>
            <w:tcW w:w="3119" w:type="dxa"/>
            <w:shd w:val="clear" w:color="auto" w:fill="D9D9D9" w:themeFill="background1" w:themeFillShade="D9"/>
          </w:tcPr>
          <w:p w14:paraId="3522DDB3" w14:textId="77777777" w:rsidR="00E47BEB" w:rsidRPr="00D835EF" w:rsidRDefault="00E47BEB" w:rsidP="00F873D5">
            <w:pPr>
              <w:pStyle w:val="QRGTableTextLeft"/>
              <w:rPr>
                <w:szCs w:val="20"/>
              </w:rPr>
            </w:pPr>
            <w:r w:rsidRPr="00D835EF">
              <w:t>AUDIT-C result</w:t>
            </w:r>
          </w:p>
        </w:tc>
        <w:tc>
          <w:tcPr>
            <w:tcW w:w="6090" w:type="dxa"/>
            <w:shd w:val="clear" w:color="auto" w:fill="D9D9D9" w:themeFill="background1" w:themeFillShade="D9"/>
          </w:tcPr>
          <w:p w14:paraId="159FECF4" w14:textId="77777777" w:rsidR="00D036DA" w:rsidRPr="00E86813" w:rsidRDefault="00D036DA" w:rsidP="00D036DA">
            <w:pPr>
              <w:pStyle w:val="QRGTableTextLeft"/>
              <w:rPr>
                <w:szCs w:val="20"/>
              </w:rPr>
            </w:pPr>
            <w:r w:rsidRPr="00E86813">
              <w:rPr>
                <w:szCs w:val="20"/>
              </w:rPr>
              <w:t>Number and proportion of Indigenous regular clients, aged 15 years and over, who have had an AUDIT-C result recorded in the previous 24 months with a score of:</w:t>
            </w:r>
          </w:p>
          <w:p w14:paraId="335206B6" w14:textId="65BAF212" w:rsidR="00D036DA" w:rsidRPr="00E86813" w:rsidRDefault="00D036DA" w:rsidP="00E86813">
            <w:pPr>
              <w:pStyle w:val="QRGTableTextLeft"/>
              <w:rPr>
                <w:szCs w:val="20"/>
              </w:rPr>
            </w:pPr>
            <w:r w:rsidRPr="00E86813">
              <w:rPr>
                <w:szCs w:val="20"/>
              </w:rPr>
              <w:t xml:space="preserve">greater than or equal to 4 in males and 3 in females or </w:t>
            </w:r>
          </w:p>
          <w:p w14:paraId="65FA0B28" w14:textId="77777777" w:rsidR="00E86813" w:rsidRDefault="00D036DA" w:rsidP="00E86813">
            <w:pPr>
              <w:pStyle w:val="QRGTableTextLeft"/>
              <w:rPr>
                <w:szCs w:val="20"/>
              </w:rPr>
            </w:pPr>
            <w:r w:rsidRPr="00E86813">
              <w:rPr>
                <w:szCs w:val="20"/>
              </w:rPr>
              <w:t>less than 4 in males and 3 in females.</w:t>
            </w:r>
          </w:p>
          <w:p w14:paraId="6CD84530" w14:textId="3A4E9847" w:rsidR="00E86813" w:rsidRPr="00E86813" w:rsidRDefault="00E86813" w:rsidP="00E86813">
            <w:pPr>
              <w:pStyle w:val="QRGTableTextLeft"/>
              <w:rPr>
                <w:szCs w:val="20"/>
              </w:rPr>
            </w:pPr>
            <w:r w:rsidRPr="001C60AA">
              <w:rPr>
                <w:noProof/>
                <w:lang w:eastAsia="en-AU"/>
              </w:rPr>
              <w:lastRenderedPageBreak/>
              <w:drawing>
                <wp:inline distT="0" distB="0" distL="0" distR="0" wp14:anchorId="22D515B0" wp14:editId="63ADCAA8">
                  <wp:extent cx="276225" cy="276225"/>
                  <wp:effectExtent l="0" t="0" r="9525" b="9525"/>
                  <wp:docPr id="16" name="Picture 16"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sidRPr="001C60AA">
              <w:t xml:space="preserve"> The </w:t>
            </w:r>
            <w:r>
              <w:rPr>
                <w:i/>
                <w:iCs/>
              </w:rPr>
              <w:t xml:space="preserve">AUDIT-C  </w:t>
            </w:r>
            <w:r>
              <w:t xml:space="preserve">result </w:t>
            </w:r>
            <w:r w:rsidRPr="001C60AA">
              <w:t xml:space="preserve">has been hidden from the nKPI form </w:t>
            </w:r>
            <w:r>
              <w:t>since</w:t>
            </w:r>
            <w:r w:rsidRPr="001C60AA">
              <w:t xml:space="preserve"> </w:t>
            </w:r>
            <w:r>
              <w:t>July</w:t>
            </w:r>
            <w:r w:rsidRPr="001C60AA">
              <w:t xml:space="preserve"> 202</w:t>
            </w:r>
            <w:r>
              <w:t>3</w:t>
            </w:r>
            <w:r w:rsidRPr="001C60AA">
              <w:t>.</w:t>
            </w:r>
          </w:p>
        </w:tc>
      </w:tr>
      <w:tr w:rsidR="00E47BEB" w14:paraId="0EB7BA79" w14:textId="77777777" w:rsidTr="00A000E6">
        <w:tc>
          <w:tcPr>
            <w:tcW w:w="1271" w:type="dxa"/>
            <w:tcBorders>
              <w:bottom w:val="single" w:sz="4" w:space="0" w:color="auto"/>
            </w:tcBorders>
          </w:tcPr>
          <w:p w14:paraId="09D43E1C" w14:textId="77777777" w:rsidR="00E47BEB" w:rsidRPr="00E47BEB" w:rsidRDefault="00E47BEB" w:rsidP="00F873D5">
            <w:pPr>
              <w:pStyle w:val="QRGTableTextLeft"/>
              <w:rPr>
                <w:b/>
                <w:szCs w:val="20"/>
              </w:rPr>
            </w:pPr>
            <w:r w:rsidRPr="00E47BEB">
              <w:rPr>
                <w:b/>
                <w:szCs w:val="20"/>
              </w:rPr>
              <w:lastRenderedPageBreak/>
              <w:t>PI18</w:t>
            </w:r>
          </w:p>
        </w:tc>
        <w:tc>
          <w:tcPr>
            <w:tcW w:w="3119" w:type="dxa"/>
            <w:tcBorders>
              <w:bottom w:val="single" w:sz="4" w:space="0" w:color="auto"/>
            </w:tcBorders>
          </w:tcPr>
          <w:p w14:paraId="2E5F6189" w14:textId="77777777" w:rsidR="00E47BEB" w:rsidRPr="008B6633" w:rsidRDefault="00E47BEB" w:rsidP="00F873D5">
            <w:pPr>
              <w:pStyle w:val="QRGTableTextLeft"/>
            </w:pPr>
            <w:r>
              <w:t>Kidney function test recorded</w:t>
            </w:r>
          </w:p>
        </w:tc>
        <w:tc>
          <w:tcPr>
            <w:tcW w:w="6090" w:type="dxa"/>
            <w:tcBorders>
              <w:bottom w:val="single" w:sz="4" w:space="0" w:color="auto"/>
            </w:tcBorders>
          </w:tcPr>
          <w:p w14:paraId="1C2D8270" w14:textId="710847E5" w:rsidR="0014422E" w:rsidRPr="0014422E" w:rsidRDefault="0014422E" w:rsidP="0014422E">
            <w:pPr>
              <w:pStyle w:val="QRGTableTextLeft"/>
              <w:rPr>
                <w:szCs w:val="20"/>
              </w:rPr>
            </w:pPr>
            <w:r w:rsidRPr="0014422E">
              <w:rPr>
                <w:szCs w:val="20"/>
              </w:rPr>
              <w:t>Number and proportion of regular clients who are Indigenous, who are recorded as having Type II diabetes and have had an estimated glomerular filtration rate (eGFR) recorded AND/OR an albumin/creatinine ratio (ACR) or other micro albumin test result recorded within the previous 12 months.</w:t>
            </w:r>
          </w:p>
          <w:p w14:paraId="69A4553C" w14:textId="431A7B8F" w:rsidR="00E47BEB" w:rsidRDefault="0014422E" w:rsidP="0014422E">
            <w:pPr>
              <w:pStyle w:val="QRGTableTextLeft"/>
              <w:rPr>
                <w:szCs w:val="20"/>
              </w:rPr>
            </w:pPr>
            <w:r w:rsidRPr="0014422E">
              <w:rPr>
                <w:szCs w:val="20"/>
              </w:rPr>
              <w:t xml:space="preserve">Number and proportion of regular clients who are Indigenous, who are recorded as having cardiovascular disease (CVD) and have had an eGFR </w:t>
            </w:r>
            <w:r w:rsidR="00E63CD7" w:rsidRPr="0014422E">
              <w:rPr>
                <w:szCs w:val="20"/>
              </w:rPr>
              <w:t xml:space="preserve">AND/OR an albumin/creatinine ratio (ACR) or other micro albumin test result recorded within the </w:t>
            </w:r>
            <w:r w:rsidR="00E33572" w:rsidRPr="001C60AA">
              <w:rPr>
                <w:rFonts w:ascii="Times New Roman" w:hAnsi="Times New Roman"/>
                <w:noProof/>
                <w:lang w:eastAsia="en-AU"/>
              </w:rPr>
              <mc:AlternateContent>
                <mc:Choice Requires="wps">
                  <w:drawing>
                    <wp:anchor distT="0" distB="0" distL="114300" distR="114300" simplePos="0" relativeHeight="251697152" behindDoc="0" locked="1" layoutInCell="1" allowOverlap="1" wp14:anchorId="6A02F74F" wp14:editId="43D5468A">
                      <wp:simplePos x="0" y="0"/>
                      <wp:positionH relativeFrom="column">
                        <wp:posOffset>-98425</wp:posOffset>
                      </wp:positionH>
                      <wp:positionV relativeFrom="page">
                        <wp:posOffset>-1329055</wp:posOffset>
                      </wp:positionV>
                      <wp:extent cx="4147185" cy="784225"/>
                      <wp:effectExtent l="0" t="0" r="0" b="0"/>
                      <wp:wrapNone/>
                      <wp:docPr id="19" name="Text Box 19"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84225"/>
                              </a:xfrm>
                              <a:prstGeom prst="rect">
                                <a:avLst/>
                              </a:prstGeom>
                              <a:noFill/>
                              <a:ln w="9525">
                                <a:noFill/>
                                <a:miter lim="800000"/>
                                <a:headEnd/>
                                <a:tailEnd/>
                              </a:ln>
                            </wps:spPr>
                            <wps:txbx>
                              <w:txbxContent>
                                <w:p w14:paraId="4FCBAAB5" w14:textId="77777777" w:rsidR="00E33572" w:rsidRPr="00566CBA" w:rsidRDefault="00E33572" w:rsidP="00E33572">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5360C961" w14:textId="77777777" w:rsidR="00E33572" w:rsidRDefault="00E33572" w:rsidP="00E33572">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2F74F" id="Text Box 19" o:spid="_x0000_s1029" type="#_x0000_t202" alt="Title: Interim Processing of an IHDR Data Asset Submissio" style="position:absolute;margin-left:-7.75pt;margin-top:-104.65pt;width:326.55pt;height:6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" filled="f" stroked="f">
                      <v:textbox>
                        <w:txbxContent>
                          <w:p w14:paraId="4FCBAAB5" w14:textId="77777777" w:rsidR="00E33572" w:rsidRPr="00566CBA" w:rsidRDefault="00E33572" w:rsidP="00E33572">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5360C961" w14:textId="77777777" w:rsidR="00E33572" w:rsidRDefault="00E33572" w:rsidP="00E33572">
                            <w:pPr>
                              <w:jc w:val="center"/>
                              <w:rPr>
                                <w:b/>
                                <w:sz w:val="36"/>
                                <w:szCs w:val="36"/>
                              </w:rPr>
                            </w:pPr>
                          </w:p>
                        </w:txbxContent>
                      </v:textbox>
                      <w10:wrap anchory="page"/>
                      <w10:anchorlock/>
                    </v:shape>
                  </w:pict>
                </mc:Fallback>
              </mc:AlternateContent>
            </w:r>
            <w:r w:rsidR="00E63CD7" w:rsidRPr="0014422E">
              <w:rPr>
                <w:szCs w:val="20"/>
              </w:rPr>
              <w:t>previous 12 months.</w:t>
            </w:r>
          </w:p>
          <w:p w14:paraId="18F1C8F9" w14:textId="15DB8940" w:rsidR="00E63CD7" w:rsidRPr="0098164B" w:rsidRDefault="00E63CD7" w:rsidP="0014422E">
            <w:pPr>
              <w:pStyle w:val="QRGTableTextLeft"/>
              <w:rPr>
                <w:szCs w:val="20"/>
              </w:rPr>
            </w:pPr>
            <w:r w:rsidRPr="0014422E">
              <w:rPr>
                <w:szCs w:val="20"/>
              </w:rPr>
              <w:t xml:space="preserve">Number and proportion of regular clients who are Indigenous, who are recorded as having </w:t>
            </w:r>
            <w:r>
              <w:rPr>
                <w:szCs w:val="20"/>
              </w:rPr>
              <w:t xml:space="preserve">either Type 2 Diabetes or </w:t>
            </w:r>
            <w:r w:rsidRPr="0014422E">
              <w:rPr>
                <w:szCs w:val="20"/>
              </w:rPr>
              <w:t>cardiovascular disease (CVD) and have had an eGFR AND/OR an albumin/creatinine ratio (ACR) or other micro albumin test result recorded within the previous 12 months.</w:t>
            </w:r>
          </w:p>
        </w:tc>
      </w:tr>
      <w:tr w:rsidR="00F36D59" w14:paraId="4A261426" w14:textId="77777777" w:rsidTr="00A000E6">
        <w:tc>
          <w:tcPr>
            <w:tcW w:w="1271" w:type="dxa"/>
            <w:tcBorders>
              <w:bottom w:val="single" w:sz="4" w:space="0" w:color="auto"/>
            </w:tcBorders>
          </w:tcPr>
          <w:p w14:paraId="6840DAAB" w14:textId="751AC396" w:rsidR="00F36D59" w:rsidRPr="00E47BEB" w:rsidRDefault="00F36D59" w:rsidP="00F36D59">
            <w:pPr>
              <w:pStyle w:val="QRGTableTextLeft"/>
              <w:rPr>
                <w:b/>
                <w:szCs w:val="20"/>
              </w:rPr>
            </w:pPr>
            <w:r w:rsidRPr="00F36D59">
              <w:rPr>
                <w:b/>
                <w:szCs w:val="20"/>
              </w:rPr>
              <w:t>PI19</w:t>
            </w:r>
          </w:p>
        </w:tc>
        <w:tc>
          <w:tcPr>
            <w:tcW w:w="3119" w:type="dxa"/>
            <w:tcBorders>
              <w:bottom w:val="single" w:sz="4" w:space="0" w:color="auto"/>
            </w:tcBorders>
          </w:tcPr>
          <w:p w14:paraId="1B11CD75" w14:textId="1ECE596B" w:rsidR="00F36D59" w:rsidRDefault="00F36D59" w:rsidP="00F36D59">
            <w:pPr>
              <w:pStyle w:val="QRGTableTextLeft"/>
            </w:pPr>
            <w:r w:rsidRPr="00F36D59">
              <w:rPr>
                <w:bCs/>
                <w:szCs w:val="20"/>
              </w:rPr>
              <w:t>Kidney function result categories</w:t>
            </w:r>
          </w:p>
        </w:tc>
        <w:tc>
          <w:tcPr>
            <w:tcW w:w="6090" w:type="dxa"/>
            <w:tcBorders>
              <w:bottom w:val="single" w:sz="4" w:space="0" w:color="auto"/>
            </w:tcBorders>
          </w:tcPr>
          <w:p w14:paraId="6D491517" w14:textId="76A134B6" w:rsidR="00F36D59" w:rsidRDefault="00F36D59" w:rsidP="00F36D59">
            <w:pPr>
              <w:pStyle w:val="QRGTableTextLeft"/>
              <w:rPr>
                <w:bCs/>
                <w:szCs w:val="20"/>
              </w:rPr>
            </w:pPr>
            <w:r w:rsidRPr="00F36D59">
              <w:rPr>
                <w:bCs/>
                <w:szCs w:val="20"/>
              </w:rPr>
              <w:t>Number and proportion of Indigenous regular clients with Type 2 Diabetes and/or Cardiovascular Disease (CVD) who had both an eGFR and ACR result recorded within the last 12 months</w:t>
            </w:r>
            <w:r>
              <w:rPr>
                <w:bCs/>
                <w:szCs w:val="20"/>
              </w:rPr>
              <w:t>, and whose risk was categorised as one of the following:</w:t>
            </w:r>
          </w:p>
          <w:p w14:paraId="4422659E" w14:textId="5F9EE416" w:rsidR="00F36D59" w:rsidRDefault="00F36D59" w:rsidP="00F36D59">
            <w:pPr>
              <w:pStyle w:val="QRGTableTextLeft"/>
              <w:numPr>
                <w:ilvl w:val="0"/>
                <w:numId w:val="14"/>
              </w:numPr>
              <w:rPr>
                <w:bCs/>
                <w:szCs w:val="20"/>
              </w:rPr>
            </w:pPr>
            <w:r>
              <w:rPr>
                <w:bCs/>
                <w:szCs w:val="20"/>
              </w:rPr>
              <w:t>Normal</w:t>
            </w:r>
          </w:p>
          <w:p w14:paraId="6DA1146E" w14:textId="21B60A7B" w:rsidR="00F36D59" w:rsidRDefault="00F36D59" w:rsidP="00F36D59">
            <w:pPr>
              <w:pStyle w:val="QRGTableTextLeft"/>
              <w:numPr>
                <w:ilvl w:val="0"/>
                <w:numId w:val="14"/>
              </w:numPr>
              <w:rPr>
                <w:bCs/>
                <w:szCs w:val="20"/>
              </w:rPr>
            </w:pPr>
            <w:r>
              <w:rPr>
                <w:bCs/>
                <w:szCs w:val="20"/>
              </w:rPr>
              <w:t>Low</w:t>
            </w:r>
          </w:p>
          <w:p w14:paraId="5FBCC32F" w14:textId="2582556C" w:rsidR="00F36D59" w:rsidRDefault="00F36D59" w:rsidP="00F36D59">
            <w:pPr>
              <w:pStyle w:val="QRGTableTextLeft"/>
              <w:numPr>
                <w:ilvl w:val="0"/>
                <w:numId w:val="14"/>
              </w:numPr>
              <w:rPr>
                <w:bCs/>
                <w:szCs w:val="20"/>
              </w:rPr>
            </w:pPr>
            <w:r>
              <w:rPr>
                <w:bCs/>
                <w:szCs w:val="20"/>
              </w:rPr>
              <w:t>Moderate</w:t>
            </w:r>
          </w:p>
          <w:p w14:paraId="1413E5BB" w14:textId="4FE58FEE" w:rsidR="00F36D59" w:rsidRPr="00F36D59" w:rsidRDefault="00F36D59" w:rsidP="00F36D59">
            <w:pPr>
              <w:pStyle w:val="QRGTableTextLeft"/>
              <w:numPr>
                <w:ilvl w:val="0"/>
                <w:numId w:val="14"/>
              </w:numPr>
              <w:rPr>
                <w:bCs/>
                <w:szCs w:val="20"/>
              </w:rPr>
            </w:pPr>
            <w:r>
              <w:rPr>
                <w:bCs/>
                <w:szCs w:val="20"/>
              </w:rPr>
              <w:t>High.</w:t>
            </w:r>
          </w:p>
          <w:p w14:paraId="1503B43C" w14:textId="28A9FAD0" w:rsidR="00F36D59" w:rsidRPr="0014422E" w:rsidRDefault="00F36D59" w:rsidP="00F36D59">
            <w:pPr>
              <w:pStyle w:val="QRGTableTextLeft"/>
              <w:rPr>
                <w:szCs w:val="20"/>
              </w:rPr>
            </w:pPr>
            <w:r w:rsidRPr="00F36D59">
              <w:rPr>
                <w:bCs/>
                <w:noProof/>
                <w:szCs w:val="20"/>
              </w:rPr>
              <w:drawing>
                <wp:inline distT="0" distB="0" distL="0" distR="0" wp14:anchorId="4E298F49" wp14:editId="2B6AC47A">
                  <wp:extent cx="276225" cy="276225"/>
                  <wp:effectExtent l="0" t="0" r="9525" b="9525"/>
                  <wp:docPr id="8" name="Picture 8"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sidRPr="00F36D59">
              <w:rPr>
                <w:bCs/>
                <w:szCs w:val="20"/>
              </w:rPr>
              <w:t xml:space="preserve"> The PI19-A and PI19-B indicators were combined to form PI19: Kidney function result categories for the January 2022 reporting round. This indicator was then suspended for the January 2022 reporting round, shortly before reporting commenced.</w:t>
            </w:r>
            <w:r>
              <w:rPr>
                <w:bCs/>
                <w:szCs w:val="20"/>
              </w:rPr>
              <w:t xml:space="preserve"> PI19 was reactivated for the July 2022 reporting round. </w:t>
            </w:r>
          </w:p>
        </w:tc>
      </w:tr>
      <w:tr w:rsidR="00F36D59" w14:paraId="61B24F3B" w14:textId="77777777" w:rsidTr="00E47BEB">
        <w:tc>
          <w:tcPr>
            <w:tcW w:w="1271" w:type="dxa"/>
          </w:tcPr>
          <w:p w14:paraId="1E65C39E" w14:textId="77777777" w:rsidR="00F36D59" w:rsidRPr="00E47BEB" w:rsidRDefault="00F36D59" w:rsidP="00F36D59">
            <w:pPr>
              <w:pStyle w:val="QRGTableTextLeft"/>
              <w:rPr>
                <w:b/>
                <w:szCs w:val="20"/>
              </w:rPr>
            </w:pPr>
            <w:r w:rsidRPr="00E47BEB">
              <w:rPr>
                <w:b/>
                <w:szCs w:val="20"/>
              </w:rPr>
              <w:t>PI20</w:t>
            </w:r>
          </w:p>
        </w:tc>
        <w:tc>
          <w:tcPr>
            <w:tcW w:w="3119" w:type="dxa"/>
          </w:tcPr>
          <w:p w14:paraId="410E3999" w14:textId="77777777" w:rsidR="00F36D59" w:rsidRPr="008B6633" w:rsidRDefault="00F36D59" w:rsidP="00F36D59">
            <w:pPr>
              <w:pStyle w:val="QRGTableTextLeft"/>
            </w:pPr>
            <w:r>
              <w:t>CVD risk assessment factors</w:t>
            </w:r>
          </w:p>
        </w:tc>
        <w:tc>
          <w:tcPr>
            <w:tcW w:w="6090" w:type="dxa"/>
          </w:tcPr>
          <w:p w14:paraId="59C47B12" w14:textId="77777777" w:rsidR="00F36D59" w:rsidRPr="0098164B" w:rsidRDefault="00F36D59" w:rsidP="00F36D59">
            <w:pPr>
              <w:pStyle w:val="QRGTableTextLeft"/>
              <w:rPr>
                <w:szCs w:val="20"/>
              </w:rPr>
            </w:pPr>
            <w:r w:rsidRPr="0014422E">
              <w:rPr>
                <w:szCs w:val="20"/>
              </w:rPr>
              <w:t>Number and proportion of Indigenous regular clients with no known cardiovascular disease (CVD) aged 35 to 74 years, with information available to calculate their absolute CVD risk.</w:t>
            </w:r>
          </w:p>
        </w:tc>
      </w:tr>
      <w:tr w:rsidR="00F36D59" w14:paraId="4DE84C30" w14:textId="77777777" w:rsidTr="00E47BEB">
        <w:tc>
          <w:tcPr>
            <w:tcW w:w="1271" w:type="dxa"/>
          </w:tcPr>
          <w:p w14:paraId="109687A4" w14:textId="77777777" w:rsidR="00F36D59" w:rsidRPr="00E47BEB" w:rsidRDefault="00F36D59" w:rsidP="00F36D59">
            <w:pPr>
              <w:pStyle w:val="QRGTableTextLeft"/>
              <w:rPr>
                <w:b/>
                <w:szCs w:val="20"/>
              </w:rPr>
            </w:pPr>
            <w:r w:rsidRPr="00E47BEB">
              <w:rPr>
                <w:b/>
                <w:szCs w:val="20"/>
              </w:rPr>
              <w:t>PI21</w:t>
            </w:r>
          </w:p>
        </w:tc>
        <w:tc>
          <w:tcPr>
            <w:tcW w:w="3119" w:type="dxa"/>
          </w:tcPr>
          <w:p w14:paraId="79DE660E" w14:textId="77777777" w:rsidR="00F36D59" w:rsidRPr="008B6633" w:rsidRDefault="00F36D59" w:rsidP="00F36D59">
            <w:pPr>
              <w:pStyle w:val="QRGTableTextLeft"/>
            </w:pPr>
            <w:r>
              <w:t>CVD risk assessment result</w:t>
            </w:r>
          </w:p>
        </w:tc>
        <w:tc>
          <w:tcPr>
            <w:tcW w:w="6090" w:type="dxa"/>
          </w:tcPr>
          <w:p w14:paraId="63FE323A" w14:textId="75258A6C" w:rsidR="00F36D59" w:rsidRPr="0014422E" w:rsidRDefault="00F36D59" w:rsidP="00F36D59">
            <w:pPr>
              <w:pStyle w:val="QRGTableTextLeft"/>
              <w:rPr>
                <w:szCs w:val="20"/>
              </w:rPr>
            </w:pPr>
            <w:r w:rsidRPr="0014422E">
              <w:rPr>
                <w:szCs w:val="20"/>
              </w:rPr>
              <w:t>Number and proportion of Indigenous regular clients, aged 35 to 74 years and with no known history of cardiovascular disease (CVD) who have had an absolute CVD risk assessment recorded within the previous 2 years and whose CVD risk was categorised as one of the following:</w:t>
            </w:r>
          </w:p>
          <w:p w14:paraId="29D9C0C0" w14:textId="42D54C46" w:rsidR="00F36D59" w:rsidRPr="0014422E" w:rsidRDefault="00F36D59" w:rsidP="00F36D59">
            <w:pPr>
              <w:pStyle w:val="QRGTableTextLeft"/>
              <w:numPr>
                <w:ilvl w:val="0"/>
                <w:numId w:val="14"/>
              </w:numPr>
              <w:rPr>
                <w:szCs w:val="20"/>
              </w:rPr>
            </w:pPr>
            <w:r w:rsidRPr="0014422E">
              <w:rPr>
                <w:szCs w:val="20"/>
              </w:rPr>
              <w:lastRenderedPageBreak/>
              <w:t>High (greater than 15% chance of a cardiovascular event in the next 5 years)</w:t>
            </w:r>
          </w:p>
          <w:p w14:paraId="21C44BE3" w14:textId="0BDBFD9D" w:rsidR="00F36D59" w:rsidRPr="0014422E" w:rsidRDefault="00F36D59" w:rsidP="00F36D59">
            <w:pPr>
              <w:pStyle w:val="QRGTableTextLeft"/>
              <w:numPr>
                <w:ilvl w:val="0"/>
                <w:numId w:val="14"/>
              </w:numPr>
              <w:rPr>
                <w:szCs w:val="20"/>
              </w:rPr>
            </w:pPr>
            <w:r w:rsidRPr="0014422E">
              <w:rPr>
                <w:szCs w:val="20"/>
              </w:rPr>
              <w:t xml:space="preserve">Moderate (10-15% chance of a cardiovascular event in the next 5 years) </w:t>
            </w:r>
          </w:p>
          <w:p w14:paraId="029FF78B" w14:textId="119D1DE5" w:rsidR="00F36D59" w:rsidRPr="0098164B" w:rsidRDefault="00F36D59" w:rsidP="00F36D59">
            <w:pPr>
              <w:pStyle w:val="QRGTableTextLeft"/>
              <w:numPr>
                <w:ilvl w:val="0"/>
                <w:numId w:val="14"/>
              </w:numPr>
              <w:rPr>
                <w:szCs w:val="20"/>
              </w:rPr>
            </w:pPr>
            <w:r w:rsidRPr="0014422E">
              <w:rPr>
                <w:szCs w:val="20"/>
              </w:rPr>
              <w:t>Low (less than 10% chance of a cardiovascular event in the next 5 years)</w:t>
            </w:r>
          </w:p>
        </w:tc>
      </w:tr>
      <w:tr w:rsidR="00F36D59" w14:paraId="4F3DA1CD" w14:textId="77777777" w:rsidTr="00E47BEB">
        <w:tc>
          <w:tcPr>
            <w:tcW w:w="1271" w:type="dxa"/>
          </w:tcPr>
          <w:p w14:paraId="63BFAC39" w14:textId="77777777" w:rsidR="00F36D59" w:rsidRPr="00E47BEB" w:rsidRDefault="00F36D59" w:rsidP="00F36D59">
            <w:pPr>
              <w:pStyle w:val="QRGTableTextLeft"/>
              <w:rPr>
                <w:b/>
                <w:szCs w:val="20"/>
              </w:rPr>
            </w:pPr>
            <w:r w:rsidRPr="00E47BEB">
              <w:rPr>
                <w:b/>
                <w:szCs w:val="20"/>
              </w:rPr>
              <w:lastRenderedPageBreak/>
              <w:t>PI22</w:t>
            </w:r>
          </w:p>
        </w:tc>
        <w:tc>
          <w:tcPr>
            <w:tcW w:w="3119" w:type="dxa"/>
          </w:tcPr>
          <w:p w14:paraId="4B3EEEEF" w14:textId="77777777" w:rsidR="00F36D59" w:rsidRPr="008B6633" w:rsidRDefault="00F36D59" w:rsidP="00F36D59">
            <w:pPr>
              <w:pStyle w:val="QRGTableTextLeft"/>
            </w:pPr>
            <w:r>
              <w:t>Cervical screening</w:t>
            </w:r>
          </w:p>
        </w:tc>
        <w:tc>
          <w:tcPr>
            <w:tcW w:w="6090" w:type="dxa"/>
          </w:tcPr>
          <w:p w14:paraId="486113B3" w14:textId="77777777" w:rsidR="00F36D59" w:rsidRPr="0098164B" w:rsidRDefault="00F36D59" w:rsidP="00F36D59">
            <w:pPr>
              <w:pStyle w:val="QRGTableTextLeft"/>
              <w:rPr>
                <w:szCs w:val="20"/>
              </w:rPr>
            </w:pPr>
            <w:r w:rsidRPr="0014422E">
              <w:rPr>
                <w:szCs w:val="20"/>
              </w:rPr>
              <w:t>Number and proportion of female regular cli</w:t>
            </w:r>
            <w:r>
              <w:rPr>
                <w:szCs w:val="20"/>
              </w:rPr>
              <w:t>ents who are Indigenous, aged 25</w:t>
            </w:r>
            <w:r w:rsidRPr="0014422E">
              <w:rPr>
                <w:szCs w:val="20"/>
              </w:rPr>
              <w:t xml:space="preserve"> to 74 years, who have not had a hysterectomy and who have had a cervical screening (HPV) </w:t>
            </w:r>
            <w:r>
              <w:rPr>
                <w:szCs w:val="20"/>
              </w:rPr>
              <w:t>test within the previous five</w:t>
            </w:r>
            <w:r w:rsidRPr="0014422E">
              <w:rPr>
                <w:szCs w:val="20"/>
              </w:rPr>
              <w:t xml:space="preserve"> years.</w:t>
            </w:r>
          </w:p>
        </w:tc>
      </w:tr>
      <w:tr w:rsidR="00F36D59" w14:paraId="23B4D393" w14:textId="77777777" w:rsidTr="00E47BEB">
        <w:tc>
          <w:tcPr>
            <w:tcW w:w="1271" w:type="dxa"/>
          </w:tcPr>
          <w:p w14:paraId="0A752545" w14:textId="77777777" w:rsidR="00F36D59" w:rsidRPr="00E47BEB" w:rsidRDefault="00F36D59" w:rsidP="00F36D59">
            <w:pPr>
              <w:pStyle w:val="QRGTableTextLeft"/>
              <w:rPr>
                <w:b/>
                <w:szCs w:val="20"/>
              </w:rPr>
            </w:pPr>
            <w:r w:rsidRPr="00E47BEB">
              <w:rPr>
                <w:b/>
                <w:szCs w:val="20"/>
              </w:rPr>
              <w:t>PI23</w:t>
            </w:r>
          </w:p>
        </w:tc>
        <w:tc>
          <w:tcPr>
            <w:tcW w:w="3119" w:type="dxa"/>
          </w:tcPr>
          <w:p w14:paraId="4B237BD7" w14:textId="77777777" w:rsidR="00F36D59" w:rsidRPr="008B6633" w:rsidRDefault="00F36D59" w:rsidP="00F36D59">
            <w:pPr>
              <w:pStyle w:val="QRGTableTextLeft"/>
            </w:pPr>
            <w:r>
              <w:t>Blood pressure recorded</w:t>
            </w:r>
          </w:p>
        </w:tc>
        <w:tc>
          <w:tcPr>
            <w:tcW w:w="6090" w:type="dxa"/>
          </w:tcPr>
          <w:p w14:paraId="2B52D4A7" w14:textId="77777777" w:rsidR="00F36D59" w:rsidRPr="0098164B" w:rsidRDefault="00F36D59" w:rsidP="00F36D59">
            <w:pPr>
              <w:pStyle w:val="QRGTableTextLeft"/>
              <w:rPr>
                <w:szCs w:val="20"/>
              </w:rPr>
            </w:pPr>
            <w:r w:rsidRPr="0014422E">
              <w:rPr>
                <w:szCs w:val="20"/>
              </w:rPr>
              <w:t>Number and proportion of regular clients who are Indigenous, have Type II diabetes and who have had a blood pressure measurement result recorded at the primary health ca</w:t>
            </w:r>
            <w:r>
              <w:rPr>
                <w:szCs w:val="20"/>
              </w:rPr>
              <w:t>re service within the previous six</w:t>
            </w:r>
            <w:r w:rsidRPr="0014422E">
              <w:rPr>
                <w:szCs w:val="20"/>
              </w:rPr>
              <w:t xml:space="preserve"> months.</w:t>
            </w:r>
          </w:p>
        </w:tc>
      </w:tr>
      <w:tr w:rsidR="00F36D59" w14:paraId="3637E94F" w14:textId="77777777" w:rsidTr="00E47BEB">
        <w:tc>
          <w:tcPr>
            <w:tcW w:w="1271" w:type="dxa"/>
          </w:tcPr>
          <w:p w14:paraId="6B257E20" w14:textId="77777777" w:rsidR="00F36D59" w:rsidRPr="00E47BEB" w:rsidRDefault="00F36D59" w:rsidP="00F36D59">
            <w:pPr>
              <w:pStyle w:val="QRGTableTextLeft"/>
              <w:rPr>
                <w:b/>
                <w:szCs w:val="20"/>
              </w:rPr>
            </w:pPr>
            <w:r w:rsidRPr="00E47BEB">
              <w:rPr>
                <w:b/>
                <w:szCs w:val="20"/>
              </w:rPr>
              <w:t>PI24</w:t>
            </w:r>
          </w:p>
        </w:tc>
        <w:tc>
          <w:tcPr>
            <w:tcW w:w="3119" w:type="dxa"/>
          </w:tcPr>
          <w:p w14:paraId="186475A8" w14:textId="43A8E90C" w:rsidR="00F36D59" w:rsidRPr="008B6633" w:rsidRDefault="00F36D59" w:rsidP="00F36D59">
            <w:pPr>
              <w:pStyle w:val="QRGTableTextLeft"/>
            </w:pPr>
            <w:r>
              <w:t>Blood pressure less than or equal to 1</w:t>
            </w:r>
            <w:r w:rsidR="00425A18">
              <w:t>4</w:t>
            </w:r>
            <w:r>
              <w:t>0/</w:t>
            </w:r>
            <w:r w:rsidR="00425A18">
              <w:t>9</w:t>
            </w:r>
            <w:r>
              <w:t>0 mm/Hg</w:t>
            </w:r>
          </w:p>
        </w:tc>
        <w:tc>
          <w:tcPr>
            <w:tcW w:w="6090" w:type="dxa"/>
          </w:tcPr>
          <w:p w14:paraId="61027463" w14:textId="59D177CE" w:rsidR="00F36D59" w:rsidRPr="0098164B" w:rsidRDefault="00F36D59" w:rsidP="00F36D59">
            <w:pPr>
              <w:pStyle w:val="QRGTableTextLeft"/>
              <w:rPr>
                <w:szCs w:val="20"/>
              </w:rPr>
            </w:pPr>
            <w:r w:rsidRPr="0014422E">
              <w:rPr>
                <w:szCs w:val="20"/>
              </w:rPr>
              <w:t>Number and proportion of regular clients who are Indigenous, have Type II diabetes and whose blood pressure measurement result, recorded within the previous 6 months, </w:t>
            </w:r>
            <w:r w:rsidRPr="008735DC">
              <w:rPr>
                <w:noProof/>
                <w:lang w:eastAsia="en-AU"/>
              </w:rPr>
              <mc:AlternateContent>
                <mc:Choice Requires="wps">
                  <w:drawing>
                    <wp:anchor distT="0" distB="0" distL="114300" distR="114300" simplePos="0" relativeHeight="251691008" behindDoc="0" locked="1" layoutInCell="1" allowOverlap="1" wp14:anchorId="57A4F9CA" wp14:editId="1E0ECB3B">
                      <wp:simplePos x="0" y="0"/>
                      <wp:positionH relativeFrom="column">
                        <wp:posOffset>-708025</wp:posOffset>
                      </wp:positionH>
                      <wp:positionV relativeFrom="page">
                        <wp:posOffset>-8735060</wp:posOffset>
                      </wp:positionV>
                      <wp:extent cx="4147185" cy="784225"/>
                      <wp:effectExtent l="0" t="0" r="0" b="0"/>
                      <wp:wrapNone/>
                      <wp:docPr id="13" name="Text Box 13"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84225"/>
                              </a:xfrm>
                              <a:prstGeom prst="rect">
                                <a:avLst/>
                              </a:prstGeom>
                              <a:noFill/>
                              <a:ln w="9525">
                                <a:noFill/>
                                <a:miter lim="800000"/>
                                <a:headEnd/>
                                <a:tailEnd/>
                              </a:ln>
                            </wps:spPr>
                            <wps:txbx>
                              <w:txbxContent>
                                <w:p w14:paraId="15CE8CFB" w14:textId="77777777" w:rsidR="00F36D59" w:rsidRPr="00566CBA" w:rsidRDefault="00F36D59" w:rsidP="00EF0662">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30033AE6" w14:textId="77777777" w:rsidR="00F36D59" w:rsidRDefault="00F36D59" w:rsidP="00EF0662">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4F9CA" id="Text Box 13" o:spid="_x0000_s1030" type="#_x0000_t202" alt="Title: Interim Processing of an IHDR Data Asset Submissio" style="position:absolute;margin-left:-55.75pt;margin-top:-687.8pt;width:326.55pt;height:6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" filled="f" stroked="f">
                      <v:textbox>
                        <w:txbxContent>
                          <w:p w14:paraId="15CE8CFB" w14:textId="77777777" w:rsidR="00F36D59" w:rsidRPr="00566CBA" w:rsidRDefault="00F36D59" w:rsidP="00EF0662">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30033AE6" w14:textId="77777777" w:rsidR="00F36D59" w:rsidRDefault="00F36D59" w:rsidP="00EF0662">
                            <w:pPr>
                              <w:jc w:val="center"/>
                              <w:rPr>
                                <w:b/>
                                <w:sz w:val="36"/>
                                <w:szCs w:val="36"/>
                              </w:rPr>
                            </w:pPr>
                          </w:p>
                        </w:txbxContent>
                      </v:textbox>
                      <w10:wrap anchory="page"/>
                      <w10:anchorlock/>
                    </v:shape>
                  </w:pict>
                </mc:Fallback>
              </mc:AlternateContent>
            </w:r>
            <w:r>
              <w:rPr>
                <w:szCs w:val="20"/>
              </w:rPr>
              <w:t>w</w:t>
            </w:r>
            <w:r w:rsidR="00E33572" w:rsidRPr="001C60AA">
              <w:rPr>
                <w:rFonts w:ascii="Times New Roman" w:hAnsi="Times New Roman"/>
                <w:noProof/>
                <w:lang w:eastAsia="en-AU"/>
              </w:rPr>
              <mc:AlternateContent>
                <mc:Choice Requires="wps">
                  <w:drawing>
                    <wp:anchor distT="0" distB="0" distL="114300" distR="114300" simplePos="0" relativeHeight="251701248" behindDoc="0" locked="1" layoutInCell="1" allowOverlap="1" wp14:anchorId="53EDFD7D" wp14:editId="4CB77178">
                      <wp:simplePos x="0" y="0"/>
                      <wp:positionH relativeFrom="column">
                        <wp:posOffset>-107950</wp:posOffset>
                      </wp:positionH>
                      <wp:positionV relativeFrom="page">
                        <wp:posOffset>-2853055</wp:posOffset>
                      </wp:positionV>
                      <wp:extent cx="4147185" cy="784225"/>
                      <wp:effectExtent l="0" t="0" r="0" b="0"/>
                      <wp:wrapNone/>
                      <wp:docPr id="22" name="Text Box 22"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84225"/>
                              </a:xfrm>
                              <a:prstGeom prst="rect">
                                <a:avLst/>
                              </a:prstGeom>
                              <a:noFill/>
                              <a:ln w="9525">
                                <a:noFill/>
                                <a:miter lim="800000"/>
                                <a:headEnd/>
                                <a:tailEnd/>
                              </a:ln>
                            </wps:spPr>
                            <wps:txbx>
                              <w:txbxContent>
                                <w:p w14:paraId="0D8AFFC2" w14:textId="77777777" w:rsidR="00E33572" w:rsidRPr="00566CBA" w:rsidRDefault="00E33572" w:rsidP="00E33572">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28827C96" w14:textId="77777777" w:rsidR="00E33572" w:rsidRDefault="00E33572" w:rsidP="00E33572">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FD7D" id="Text Box 22" o:spid="_x0000_s1031" type="#_x0000_t202" alt="Title: Interim Processing of an IHDR Data Asset Submissio" style="position:absolute;margin-left:-8.5pt;margin-top:-224.65pt;width:326.55pt;height:6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" filled="f" stroked="f">
                      <v:textbox>
                        <w:txbxContent>
                          <w:p w14:paraId="0D8AFFC2" w14:textId="77777777" w:rsidR="00E33572" w:rsidRPr="00566CBA" w:rsidRDefault="00E33572" w:rsidP="00E33572">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28827C96" w14:textId="77777777" w:rsidR="00E33572" w:rsidRDefault="00E33572" w:rsidP="00E33572">
                            <w:pPr>
                              <w:jc w:val="center"/>
                              <w:rPr>
                                <w:b/>
                                <w:sz w:val="36"/>
                                <w:szCs w:val="36"/>
                              </w:rPr>
                            </w:pPr>
                          </w:p>
                        </w:txbxContent>
                      </v:textbox>
                      <w10:wrap anchory="page"/>
                      <w10:anchorlock/>
                    </v:shape>
                  </w:pict>
                </mc:Fallback>
              </mc:AlternateContent>
            </w:r>
            <w:r>
              <w:rPr>
                <w:szCs w:val="20"/>
              </w:rPr>
              <w:t>as less than or equal to 140/9</w:t>
            </w:r>
            <w:r w:rsidRPr="0014422E">
              <w:rPr>
                <w:szCs w:val="20"/>
              </w:rPr>
              <w:t>0 mmHg.</w:t>
            </w:r>
          </w:p>
        </w:tc>
      </w:tr>
      <w:tr w:rsidR="00F36D59" w14:paraId="1452D873" w14:textId="77777777" w:rsidTr="00E47BEB">
        <w:tc>
          <w:tcPr>
            <w:tcW w:w="1271" w:type="dxa"/>
          </w:tcPr>
          <w:p w14:paraId="54F46231" w14:textId="28DE1A95" w:rsidR="00F36D59" w:rsidRPr="00EF0662" w:rsidRDefault="00F36D59" w:rsidP="00F36D59">
            <w:pPr>
              <w:pStyle w:val="QRGTableTextLeft"/>
              <w:rPr>
                <w:b/>
                <w:szCs w:val="20"/>
                <w:highlight w:val="yellow"/>
              </w:rPr>
            </w:pPr>
            <w:r w:rsidRPr="00425A18">
              <w:rPr>
                <w:b/>
                <w:szCs w:val="20"/>
              </w:rPr>
              <w:t>PI25</w:t>
            </w:r>
          </w:p>
        </w:tc>
        <w:tc>
          <w:tcPr>
            <w:tcW w:w="3119" w:type="dxa"/>
          </w:tcPr>
          <w:p w14:paraId="3E67C38C" w14:textId="72E57DB4" w:rsidR="00F36D59" w:rsidRDefault="00425A18" w:rsidP="00F36D59">
            <w:pPr>
              <w:pStyle w:val="QRGTableTextLeft"/>
            </w:pPr>
            <w:r>
              <w:t>STI Tests</w:t>
            </w:r>
          </w:p>
        </w:tc>
        <w:tc>
          <w:tcPr>
            <w:tcW w:w="6090" w:type="dxa"/>
          </w:tcPr>
          <w:p w14:paraId="2DC5B238" w14:textId="0DFBBB52" w:rsidR="00F36D59" w:rsidRPr="0014422E" w:rsidRDefault="00425A18" w:rsidP="00F36D59">
            <w:pPr>
              <w:pStyle w:val="QRGTableTextLeft"/>
              <w:rPr>
                <w:szCs w:val="20"/>
              </w:rPr>
            </w:pPr>
            <w:r>
              <w:rPr>
                <w:szCs w:val="20"/>
              </w:rPr>
              <w:t>Number of Indigenous regular clients between 15 and 34 years of age,</w:t>
            </w:r>
            <w:r w:rsidR="00E33572">
              <w:rPr>
                <w:szCs w:val="20"/>
              </w:rPr>
              <w:t xml:space="preserve"> </w:t>
            </w:r>
            <w:r>
              <w:rPr>
                <w:szCs w:val="20"/>
              </w:rPr>
              <w:t>who tested for one or more sexually transmitted infections within the previous 12 months</w:t>
            </w:r>
          </w:p>
        </w:tc>
      </w:tr>
    </w:tbl>
    <w:p w14:paraId="19FE5265" w14:textId="77777777" w:rsidR="00F46378" w:rsidRDefault="00F46378">
      <w:pPr>
        <w:spacing w:before="0" w:after="0"/>
        <w:rPr>
          <w:rFonts w:ascii="Arial" w:hAnsi="Arial" w:cs="Arial"/>
          <w:b/>
          <w:bCs/>
          <w:i/>
          <w:iCs/>
          <w:szCs w:val="28"/>
        </w:rPr>
      </w:pPr>
      <w:r>
        <w:br w:type="page"/>
      </w:r>
    </w:p>
    <w:p w14:paraId="4CABA63C" w14:textId="62701907" w:rsidR="004332AF" w:rsidRDefault="004332AF" w:rsidP="004332AF">
      <w:pPr>
        <w:pStyle w:val="Heading2"/>
      </w:pPr>
      <w:r>
        <w:lastRenderedPageBreak/>
        <w:t>Maternal and Child Health Services</w:t>
      </w:r>
      <w:r w:rsidR="006179DA" w:rsidRPr="008735DC">
        <w:rPr>
          <w:noProof/>
          <w:lang w:eastAsia="en-AU"/>
        </w:rPr>
        <mc:AlternateContent>
          <mc:Choice Requires="wps">
            <w:drawing>
              <wp:anchor distT="0" distB="0" distL="114300" distR="114300" simplePos="0" relativeHeight="251683840" behindDoc="0" locked="1" layoutInCell="1" allowOverlap="1" wp14:anchorId="04102FF1" wp14:editId="7C0BE0BA">
                <wp:simplePos x="0" y="0"/>
                <wp:positionH relativeFrom="column">
                  <wp:posOffset>2759075</wp:posOffset>
                </wp:positionH>
                <wp:positionV relativeFrom="page">
                  <wp:posOffset>276225</wp:posOffset>
                </wp:positionV>
                <wp:extent cx="4147185" cy="784225"/>
                <wp:effectExtent l="0" t="0" r="0" b="0"/>
                <wp:wrapNone/>
                <wp:docPr id="4" name="Text Box 4"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84225"/>
                        </a:xfrm>
                        <a:prstGeom prst="rect">
                          <a:avLst/>
                        </a:prstGeom>
                        <a:noFill/>
                        <a:ln w="9525">
                          <a:noFill/>
                          <a:miter lim="800000"/>
                          <a:headEnd/>
                          <a:tailEnd/>
                        </a:ln>
                      </wps:spPr>
                      <wps:txbx>
                        <w:txbxContent>
                          <w:p w14:paraId="44E32F77" w14:textId="77777777" w:rsidR="006179DA" w:rsidRPr="00566CBA" w:rsidRDefault="006179DA" w:rsidP="006179DA">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5AA0D21A" w14:textId="77777777" w:rsidR="006179DA" w:rsidRDefault="006179DA" w:rsidP="006179DA">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02FF1" id="Text Box 4" o:spid="_x0000_s1032" type="#_x0000_t202" alt="Title: Interim Processing of an IHDR Data Asset Submissio" style="position:absolute;margin-left:217.25pt;margin-top:21.75pt;width:326.55pt;height:6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" filled="f" stroked="f">
                <v:textbox>
                  <w:txbxContent>
                    <w:p w14:paraId="44E32F77" w14:textId="77777777" w:rsidR="006179DA" w:rsidRPr="00566CBA" w:rsidRDefault="006179DA" w:rsidP="006179DA">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5AA0D21A" w14:textId="77777777" w:rsidR="006179DA" w:rsidRDefault="006179DA" w:rsidP="006179DA">
                      <w:pPr>
                        <w:jc w:val="center"/>
                        <w:rPr>
                          <w:b/>
                          <w:sz w:val="36"/>
                          <w:szCs w:val="36"/>
                        </w:rPr>
                      </w:pPr>
                    </w:p>
                  </w:txbxContent>
                </v:textbox>
                <w10:wrap anchory="page"/>
                <w10:anchorlock/>
              </v:shape>
            </w:pict>
          </mc:Fallback>
        </mc:AlternateContent>
      </w:r>
    </w:p>
    <w:p w14:paraId="701538D1" w14:textId="2BDDE976" w:rsidR="004332AF" w:rsidRPr="004332AF" w:rsidRDefault="004332AF" w:rsidP="004332AF">
      <w:pPr>
        <w:pStyle w:val="QRGText"/>
      </w:pPr>
      <w:r>
        <w:t xml:space="preserve">Maternal and Child Health </w:t>
      </w:r>
      <w:r w:rsidR="001662A0">
        <w:t>s</w:t>
      </w:r>
      <w:r>
        <w:t xml:space="preserve">ervices </w:t>
      </w:r>
      <w:r w:rsidR="00C93D9B">
        <w:t xml:space="preserve">currently </w:t>
      </w:r>
      <w:r>
        <w:t xml:space="preserve">only need to complete </w:t>
      </w:r>
      <w:r w:rsidR="00C93D9B">
        <w:t>five</w:t>
      </w:r>
      <w:r>
        <w:t xml:space="preserve"> indicators when submitting their nKPI report in the Health Data Portal. These indicators are listed below.</w:t>
      </w:r>
    </w:p>
    <w:tbl>
      <w:tblPr>
        <w:tblStyle w:val="TableGrid"/>
        <w:tblW w:w="0" w:type="auto"/>
        <w:tblLook w:val="04A0" w:firstRow="1" w:lastRow="0" w:firstColumn="1" w:lastColumn="0" w:noHBand="0" w:noVBand="1"/>
        <w:tblDescription w:val="Table describing the fields on the screen and what needs to be entered into each field. The first column lists the field name and the second field describes what needs to go into each field."/>
      </w:tblPr>
      <w:tblGrid>
        <w:gridCol w:w="1271"/>
        <w:gridCol w:w="3119"/>
        <w:gridCol w:w="6090"/>
      </w:tblGrid>
      <w:tr w:rsidR="004332AF" w14:paraId="6F03AFF6" w14:textId="77777777" w:rsidTr="00C53AD1">
        <w:trPr>
          <w:tblHeader/>
        </w:trPr>
        <w:tc>
          <w:tcPr>
            <w:tcW w:w="1271" w:type="dxa"/>
            <w:shd w:val="clear" w:color="auto" w:fill="00B0F0"/>
          </w:tcPr>
          <w:p w14:paraId="79318EC7" w14:textId="77777777" w:rsidR="004332AF" w:rsidRDefault="004332AF" w:rsidP="00C53AD1">
            <w:pPr>
              <w:pStyle w:val="QRGTableHeading"/>
            </w:pPr>
            <w:r>
              <w:rPr>
                <w:color w:val="FFFFFF" w:themeColor="background1"/>
              </w:rPr>
              <w:t xml:space="preserve">nKPI </w:t>
            </w:r>
          </w:p>
        </w:tc>
        <w:tc>
          <w:tcPr>
            <w:tcW w:w="3119" w:type="dxa"/>
            <w:shd w:val="clear" w:color="auto" w:fill="00B0F0"/>
          </w:tcPr>
          <w:p w14:paraId="7D3F5503" w14:textId="77777777" w:rsidR="004332AF" w:rsidRPr="00392D4E" w:rsidRDefault="004332AF" w:rsidP="00C53AD1">
            <w:pPr>
              <w:pStyle w:val="QRGTableHeading"/>
              <w:rPr>
                <w:color w:val="FFFFFF" w:themeColor="background1"/>
              </w:rPr>
            </w:pPr>
            <w:r>
              <w:rPr>
                <w:color w:val="FFFFFF" w:themeColor="background1"/>
              </w:rPr>
              <w:t xml:space="preserve">Title </w:t>
            </w:r>
          </w:p>
        </w:tc>
        <w:tc>
          <w:tcPr>
            <w:tcW w:w="6090" w:type="dxa"/>
            <w:shd w:val="clear" w:color="auto" w:fill="00B0F0"/>
          </w:tcPr>
          <w:p w14:paraId="01AD4383" w14:textId="77777777" w:rsidR="004332AF" w:rsidRPr="006B7216" w:rsidRDefault="004332AF" w:rsidP="00C53AD1">
            <w:pPr>
              <w:pStyle w:val="QRGTableHeading"/>
            </w:pPr>
            <w:r w:rsidRPr="00392D4E">
              <w:rPr>
                <w:color w:val="FFFFFF" w:themeColor="background1"/>
              </w:rPr>
              <w:t>Description</w:t>
            </w:r>
          </w:p>
        </w:tc>
      </w:tr>
      <w:tr w:rsidR="006179DA" w14:paraId="6494A4F5" w14:textId="77777777" w:rsidTr="00C53AD1">
        <w:tc>
          <w:tcPr>
            <w:tcW w:w="1271" w:type="dxa"/>
          </w:tcPr>
          <w:p w14:paraId="7B82531F" w14:textId="77777777" w:rsidR="006179DA" w:rsidRPr="007A19D5" w:rsidRDefault="006179DA" w:rsidP="006179DA">
            <w:pPr>
              <w:pStyle w:val="QRGTableTextLeft"/>
              <w:rPr>
                <w:b/>
                <w:szCs w:val="20"/>
              </w:rPr>
            </w:pPr>
            <w:r w:rsidRPr="007A19D5">
              <w:rPr>
                <w:b/>
                <w:szCs w:val="20"/>
              </w:rPr>
              <w:t>PI01</w:t>
            </w:r>
          </w:p>
        </w:tc>
        <w:tc>
          <w:tcPr>
            <w:tcW w:w="3119" w:type="dxa"/>
          </w:tcPr>
          <w:p w14:paraId="51BBCC9D" w14:textId="77777777" w:rsidR="006179DA" w:rsidRDefault="006179DA" w:rsidP="006179DA">
            <w:pPr>
              <w:pStyle w:val="QRGTableTextLeft"/>
              <w:rPr>
                <w:szCs w:val="20"/>
              </w:rPr>
            </w:pPr>
            <w:r>
              <w:rPr>
                <w:szCs w:val="20"/>
              </w:rPr>
              <w:t>Birth weight recorded</w:t>
            </w:r>
          </w:p>
        </w:tc>
        <w:tc>
          <w:tcPr>
            <w:tcW w:w="6090" w:type="dxa"/>
          </w:tcPr>
          <w:p w14:paraId="2CA582B8" w14:textId="77777777" w:rsidR="006179DA" w:rsidRPr="00305474" w:rsidRDefault="006179DA" w:rsidP="006179DA">
            <w:pPr>
              <w:pStyle w:val="QRGTableTextLeft"/>
            </w:pPr>
            <w:r w:rsidRPr="00AC467E">
              <w:rPr>
                <w:szCs w:val="20"/>
              </w:rPr>
              <w:t xml:space="preserve">Number and proportion of Indigenous babies born within the previous 12 months </w:t>
            </w:r>
            <w:r>
              <w:rPr>
                <w:szCs w:val="20"/>
              </w:rPr>
              <w:t>who attended the organisation more than once, whose birthweight has been recorded</w:t>
            </w:r>
            <w:r w:rsidRPr="00AC467E">
              <w:rPr>
                <w:szCs w:val="20"/>
              </w:rPr>
              <w:t xml:space="preserve"> at the primary health care service.</w:t>
            </w:r>
          </w:p>
        </w:tc>
      </w:tr>
      <w:tr w:rsidR="006179DA" w14:paraId="1CF5A1BC" w14:textId="77777777" w:rsidTr="00C53AD1">
        <w:tc>
          <w:tcPr>
            <w:tcW w:w="1271" w:type="dxa"/>
          </w:tcPr>
          <w:p w14:paraId="35893C39" w14:textId="77777777" w:rsidR="006179DA" w:rsidRPr="007A19D5" w:rsidRDefault="006179DA" w:rsidP="006179DA">
            <w:pPr>
              <w:pStyle w:val="QRGTableTextLeft"/>
              <w:rPr>
                <w:b/>
                <w:szCs w:val="20"/>
              </w:rPr>
            </w:pPr>
            <w:r w:rsidRPr="007A19D5">
              <w:rPr>
                <w:b/>
                <w:szCs w:val="20"/>
              </w:rPr>
              <w:t>PI02</w:t>
            </w:r>
          </w:p>
        </w:tc>
        <w:tc>
          <w:tcPr>
            <w:tcW w:w="3119" w:type="dxa"/>
          </w:tcPr>
          <w:p w14:paraId="6CD81BCA" w14:textId="77777777" w:rsidR="006179DA" w:rsidRPr="00340233" w:rsidRDefault="006179DA" w:rsidP="006179DA">
            <w:pPr>
              <w:pStyle w:val="QRGTableTextLeft"/>
            </w:pPr>
            <w:r>
              <w:t>Birth weight result</w:t>
            </w:r>
          </w:p>
        </w:tc>
        <w:tc>
          <w:tcPr>
            <w:tcW w:w="6090" w:type="dxa"/>
          </w:tcPr>
          <w:p w14:paraId="39AF005B" w14:textId="77777777" w:rsidR="006179DA" w:rsidRPr="00AC467E" w:rsidRDefault="006179DA" w:rsidP="006179DA">
            <w:pPr>
              <w:pStyle w:val="QRGTableTextLeft"/>
              <w:rPr>
                <w:szCs w:val="20"/>
              </w:rPr>
            </w:pPr>
            <w:r w:rsidRPr="00AC467E">
              <w:rPr>
                <w:szCs w:val="20"/>
              </w:rPr>
              <w:t>Number and proportion of Indigenous babies bor</w:t>
            </w:r>
            <w:r>
              <w:rPr>
                <w:szCs w:val="20"/>
              </w:rPr>
              <w:t xml:space="preserve">n within the previous 12 months, who attended the organisation more than once, </w:t>
            </w:r>
            <w:r w:rsidRPr="00AC467E">
              <w:rPr>
                <w:szCs w:val="20"/>
              </w:rPr>
              <w:t>whose birth weight results were categorised as one of the following:</w:t>
            </w:r>
          </w:p>
          <w:p w14:paraId="09AD7329" w14:textId="77777777" w:rsidR="006179DA" w:rsidRPr="00AC467E" w:rsidRDefault="006179DA" w:rsidP="006179DA">
            <w:pPr>
              <w:pStyle w:val="QRGTableTextLeft"/>
              <w:numPr>
                <w:ilvl w:val="0"/>
                <w:numId w:val="6"/>
              </w:numPr>
              <w:rPr>
                <w:szCs w:val="20"/>
              </w:rPr>
            </w:pPr>
            <w:r>
              <w:rPr>
                <w:szCs w:val="20"/>
              </w:rPr>
              <w:t>Low (less than 2,500 grams);</w:t>
            </w:r>
          </w:p>
          <w:p w14:paraId="5E27A60A" w14:textId="77777777" w:rsidR="006179DA" w:rsidRPr="00AC467E" w:rsidRDefault="006179DA" w:rsidP="006179DA">
            <w:pPr>
              <w:pStyle w:val="QRGTableTextLeft"/>
              <w:numPr>
                <w:ilvl w:val="0"/>
                <w:numId w:val="6"/>
              </w:numPr>
              <w:rPr>
                <w:szCs w:val="20"/>
              </w:rPr>
            </w:pPr>
            <w:r w:rsidRPr="00AC467E">
              <w:rPr>
                <w:szCs w:val="20"/>
              </w:rPr>
              <w:t>Normal (2,500 grams to less than 4,500 grams)</w:t>
            </w:r>
            <w:r>
              <w:rPr>
                <w:szCs w:val="20"/>
              </w:rPr>
              <w:t>;</w:t>
            </w:r>
          </w:p>
          <w:p w14:paraId="3219A5AD" w14:textId="77777777" w:rsidR="006179DA" w:rsidRPr="006B7216" w:rsidRDefault="006179DA" w:rsidP="006179DA">
            <w:pPr>
              <w:pStyle w:val="QRGTableTextLeft"/>
              <w:numPr>
                <w:ilvl w:val="0"/>
                <w:numId w:val="5"/>
              </w:numPr>
              <w:rPr>
                <w:szCs w:val="20"/>
              </w:rPr>
            </w:pPr>
            <w:r w:rsidRPr="00AC467E">
              <w:rPr>
                <w:szCs w:val="20"/>
              </w:rPr>
              <w:t>High (4,500 grams and over).</w:t>
            </w:r>
          </w:p>
        </w:tc>
      </w:tr>
      <w:tr w:rsidR="006179DA" w14:paraId="59C09645" w14:textId="77777777" w:rsidTr="00C53AD1">
        <w:tc>
          <w:tcPr>
            <w:tcW w:w="1271" w:type="dxa"/>
          </w:tcPr>
          <w:p w14:paraId="164A7281" w14:textId="77777777" w:rsidR="006179DA" w:rsidRPr="007A19D5" w:rsidRDefault="006179DA" w:rsidP="006179DA">
            <w:pPr>
              <w:pStyle w:val="QRGTableTextLeft"/>
              <w:rPr>
                <w:b/>
                <w:szCs w:val="20"/>
              </w:rPr>
            </w:pPr>
            <w:r w:rsidRPr="007A19D5">
              <w:rPr>
                <w:b/>
                <w:szCs w:val="20"/>
              </w:rPr>
              <w:t>PI03</w:t>
            </w:r>
          </w:p>
        </w:tc>
        <w:tc>
          <w:tcPr>
            <w:tcW w:w="3119" w:type="dxa"/>
          </w:tcPr>
          <w:p w14:paraId="41178419" w14:textId="77777777" w:rsidR="006179DA" w:rsidRPr="00340233" w:rsidRDefault="006179DA" w:rsidP="006179DA">
            <w:pPr>
              <w:pStyle w:val="QRGTableTextLeft"/>
            </w:pPr>
            <w:r>
              <w:t>Health assessments</w:t>
            </w:r>
          </w:p>
        </w:tc>
        <w:tc>
          <w:tcPr>
            <w:tcW w:w="6090" w:type="dxa"/>
          </w:tcPr>
          <w:p w14:paraId="3E3386A1" w14:textId="77777777" w:rsidR="006179DA" w:rsidRPr="00305474" w:rsidRDefault="006179DA" w:rsidP="006179DA">
            <w:pPr>
              <w:pStyle w:val="QRGTableTextLeft"/>
            </w:pPr>
            <w:r w:rsidRPr="00AC467E">
              <w:rPr>
                <w:szCs w:val="20"/>
              </w:rPr>
              <w:t>Number and proportion of regular clients who are Indigenous, aged 0-</w:t>
            </w:r>
            <w:r>
              <w:rPr>
                <w:szCs w:val="20"/>
              </w:rPr>
              <w:t>1</w:t>
            </w:r>
            <w:r w:rsidRPr="00AC467E">
              <w:rPr>
                <w:szCs w:val="20"/>
              </w:rPr>
              <w:t xml:space="preserve">4 years and </w:t>
            </w:r>
            <w:r>
              <w:rPr>
                <w:szCs w:val="20"/>
              </w:rPr>
              <w:t>had</w:t>
            </w:r>
            <w:r w:rsidRPr="00AC467E">
              <w:rPr>
                <w:szCs w:val="20"/>
              </w:rPr>
              <w:t xml:space="preserve"> a Health Assessment for Aboriginal and Torres Strait Islander People </w:t>
            </w:r>
            <w:r>
              <w:rPr>
                <w:szCs w:val="20"/>
              </w:rPr>
              <w:t xml:space="preserve">completed (both through </w:t>
            </w:r>
            <w:r w:rsidRPr="00AE5E7C">
              <w:rPr>
                <w:i/>
                <w:szCs w:val="20"/>
              </w:rPr>
              <w:t>Telehealth</w:t>
            </w:r>
            <w:r>
              <w:rPr>
                <w:szCs w:val="20"/>
              </w:rPr>
              <w:t xml:space="preserve"> and </w:t>
            </w:r>
            <w:r w:rsidRPr="00AE5E7C">
              <w:rPr>
                <w:i/>
                <w:szCs w:val="20"/>
              </w:rPr>
              <w:t>In Person</w:t>
            </w:r>
            <w:r>
              <w:rPr>
                <w:szCs w:val="20"/>
              </w:rPr>
              <w:t>)</w:t>
            </w:r>
            <w:r w:rsidRPr="00AC467E">
              <w:rPr>
                <w:szCs w:val="20"/>
              </w:rPr>
              <w:t xml:space="preserve"> within the previous 12 months AND number and proportion of regular cl</w:t>
            </w:r>
            <w:r>
              <w:rPr>
                <w:szCs w:val="20"/>
              </w:rPr>
              <w:t>ients who are Indigenous, aged 1</w:t>
            </w:r>
            <w:r w:rsidRPr="00AC467E">
              <w:rPr>
                <w:szCs w:val="20"/>
              </w:rPr>
              <w:t xml:space="preserve">5 years and over and </w:t>
            </w:r>
            <w:r>
              <w:rPr>
                <w:szCs w:val="20"/>
              </w:rPr>
              <w:t>had</w:t>
            </w:r>
            <w:r w:rsidRPr="00AC467E">
              <w:rPr>
                <w:szCs w:val="20"/>
              </w:rPr>
              <w:t xml:space="preserve"> </w:t>
            </w:r>
            <w:r>
              <w:rPr>
                <w:szCs w:val="20"/>
              </w:rPr>
              <w:t>a</w:t>
            </w:r>
            <w:r w:rsidRPr="00AC467E">
              <w:rPr>
                <w:szCs w:val="20"/>
              </w:rPr>
              <w:t xml:space="preserve"> Health Assessment for Aboriginal and Torres Strait Islander People </w:t>
            </w:r>
            <w:r>
              <w:rPr>
                <w:szCs w:val="20"/>
              </w:rPr>
              <w:t>completed</w:t>
            </w:r>
            <w:r w:rsidRPr="00AC467E">
              <w:rPr>
                <w:szCs w:val="20"/>
              </w:rPr>
              <w:t xml:space="preserve"> </w:t>
            </w:r>
            <w:r>
              <w:rPr>
                <w:szCs w:val="20"/>
              </w:rPr>
              <w:t xml:space="preserve">(both through </w:t>
            </w:r>
            <w:r w:rsidRPr="00AE5E7C">
              <w:rPr>
                <w:i/>
                <w:szCs w:val="20"/>
              </w:rPr>
              <w:t>Telehealth</w:t>
            </w:r>
            <w:r>
              <w:rPr>
                <w:szCs w:val="20"/>
              </w:rPr>
              <w:t xml:space="preserve"> and </w:t>
            </w:r>
            <w:r w:rsidRPr="00AE5E7C">
              <w:rPr>
                <w:i/>
                <w:szCs w:val="20"/>
              </w:rPr>
              <w:t>In Person</w:t>
            </w:r>
            <w:r>
              <w:rPr>
                <w:szCs w:val="20"/>
              </w:rPr>
              <w:t>)</w:t>
            </w:r>
            <w:r w:rsidRPr="00AC467E">
              <w:rPr>
                <w:szCs w:val="20"/>
              </w:rPr>
              <w:t xml:space="preserve"> within the previous 24 months.</w:t>
            </w:r>
          </w:p>
        </w:tc>
      </w:tr>
      <w:tr w:rsidR="006179DA" w14:paraId="1A392A07" w14:textId="77777777" w:rsidTr="001C60AA">
        <w:tc>
          <w:tcPr>
            <w:tcW w:w="1271" w:type="dxa"/>
            <w:shd w:val="clear" w:color="auto" w:fill="D9D9D9" w:themeFill="background1" w:themeFillShade="D9"/>
          </w:tcPr>
          <w:p w14:paraId="4C51AF5B" w14:textId="77777777" w:rsidR="006179DA" w:rsidRPr="007A19D5" w:rsidRDefault="006179DA" w:rsidP="006179DA">
            <w:pPr>
              <w:pStyle w:val="QRGTableTextLeft"/>
              <w:rPr>
                <w:b/>
                <w:szCs w:val="20"/>
              </w:rPr>
            </w:pPr>
            <w:r w:rsidRPr="007A19D5">
              <w:rPr>
                <w:b/>
                <w:szCs w:val="20"/>
              </w:rPr>
              <w:t>PI04</w:t>
            </w:r>
          </w:p>
        </w:tc>
        <w:tc>
          <w:tcPr>
            <w:tcW w:w="3119" w:type="dxa"/>
            <w:shd w:val="clear" w:color="auto" w:fill="D9D9D9" w:themeFill="background1" w:themeFillShade="D9"/>
          </w:tcPr>
          <w:p w14:paraId="74C10B2D" w14:textId="77777777" w:rsidR="006179DA" w:rsidRPr="00340233" w:rsidRDefault="006179DA" w:rsidP="006179DA">
            <w:pPr>
              <w:pStyle w:val="QRGTableTextLeft"/>
            </w:pPr>
            <w:r>
              <w:t>Child immunisation</w:t>
            </w:r>
          </w:p>
        </w:tc>
        <w:tc>
          <w:tcPr>
            <w:tcW w:w="6090" w:type="dxa"/>
            <w:shd w:val="clear" w:color="auto" w:fill="D9D9D9" w:themeFill="background1" w:themeFillShade="D9"/>
          </w:tcPr>
          <w:p w14:paraId="2CD6A460" w14:textId="77777777" w:rsidR="006179DA" w:rsidRPr="006E4690" w:rsidRDefault="006179DA" w:rsidP="006179DA">
            <w:pPr>
              <w:pStyle w:val="QRGTableTextLeft"/>
              <w:rPr>
                <w:szCs w:val="20"/>
              </w:rPr>
            </w:pPr>
            <w:r w:rsidRPr="006E4690">
              <w:rPr>
                <w:szCs w:val="20"/>
              </w:rPr>
              <w:t xml:space="preserve">Number and proportion of Indigenous children who are regular clients, aged: </w:t>
            </w:r>
          </w:p>
          <w:p w14:paraId="416CC76C" w14:textId="77777777" w:rsidR="006179DA" w:rsidRPr="006E4690" w:rsidRDefault="006179DA" w:rsidP="006179DA">
            <w:pPr>
              <w:pStyle w:val="QRGTableTextLeft"/>
              <w:numPr>
                <w:ilvl w:val="0"/>
                <w:numId w:val="4"/>
              </w:numPr>
              <w:rPr>
                <w:szCs w:val="20"/>
              </w:rPr>
            </w:pPr>
            <w:r w:rsidRPr="006E4690">
              <w:rPr>
                <w:szCs w:val="20"/>
              </w:rPr>
              <w:t xml:space="preserve">12 months to less than 24 months; </w:t>
            </w:r>
          </w:p>
          <w:p w14:paraId="052B5E31" w14:textId="77777777" w:rsidR="006179DA" w:rsidRPr="006E4690" w:rsidRDefault="006179DA" w:rsidP="006179DA">
            <w:pPr>
              <w:pStyle w:val="QRGTableTextLeft"/>
              <w:numPr>
                <w:ilvl w:val="0"/>
                <w:numId w:val="4"/>
              </w:numPr>
              <w:rPr>
                <w:szCs w:val="20"/>
              </w:rPr>
            </w:pPr>
            <w:r w:rsidRPr="006E4690">
              <w:rPr>
                <w:szCs w:val="20"/>
              </w:rPr>
              <w:t xml:space="preserve">24 months to less than 36 months; </w:t>
            </w:r>
          </w:p>
          <w:p w14:paraId="6BC93D1D" w14:textId="77777777" w:rsidR="006179DA" w:rsidRPr="006E4690" w:rsidRDefault="006179DA" w:rsidP="006179DA">
            <w:pPr>
              <w:pStyle w:val="QRGTableTextLeft"/>
              <w:numPr>
                <w:ilvl w:val="0"/>
                <w:numId w:val="4"/>
              </w:numPr>
              <w:rPr>
                <w:szCs w:val="20"/>
              </w:rPr>
            </w:pPr>
            <w:r w:rsidRPr="006E4690">
              <w:rPr>
                <w:szCs w:val="20"/>
              </w:rPr>
              <w:t>60 months to less than 72 months;</w:t>
            </w:r>
          </w:p>
          <w:p w14:paraId="223A6E09" w14:textId="77777777" w:rsidR="006179DA" w:rsidRDefault="006179DA" w:rsidP="006179DA">
            <w:pPr>
              <w:pStyle w:val="QRGTableTextLeft"/>
              <w:ind w:left="315"/>
            </w:pPr>
            <w:r w:rsidRPr="006E4690">
              <w:rPr>
                <w:szCs w:val="20"/>
              </w:rPr>
              <w:t>and who are 'fully immunised'.</w:t>
            </w:r>
          </w:p>
          <w:p w14:paraId="369C0358" w14:textId="383FDE26" w:rsidR="006179DA" w:rsidRDefault="006179DA" w:rsidP="006179DA">
            <w:pPr>
              <w:pStyle w:val="QRGTableTextLeft"/>
              <w:rPr>
                <w:szCs w:val="20"/>
              </w:rPr>
            </w:pPr>
            <w:r w:rsidRPr="004F37C0">
              <w:rPr>
                <w:noProof/>
                <w:lang w:eastAsia="en-AU"/>
              </w:rPr>
              <w:drawing>
                <wp:inline distT="0" distB="0" distL="0" distR="0" wp14:anchorId="6EB937E7" wp14:editId="52A28E54">
                  <wp:extent cx="276225" cy="276225"/>
                  <wp:effectExtent l="0" t="0" r="9525" b="9525"/>
                  <wp:docPr id="3" name="Picture 3"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sidRPr="004F37C0">
              <w:t xml:space="preserve"> The </w:t>
            </w:r>
            <w:r>
              <w:t>Child immunisation indicator (PI04</w:t>
            </w:r>
            <w:r w:rsidRPr="004F37C0">
              <w:t xml:space="preserve">) has been hidden from the nKPI form </w:t>
            </w:r>
            <w:r w:rsidR="004A7CEA">
              <w:t>since</w:t>
            </w:r>
            <w:r w:rsidRPr="004F37C0">
              <w:t xml:space="preserve"> January 2021</w:t>
            </w:r>
            <w:r>
              <w:t>, pending data from the Australian Immunisation Register (AIR) being added to the Clinical Information Systems to ensure more accurate and consistent data is stored.</w:t>
            </w:r>
          </w:p>
        </w:tc>
      </w:tr>
      <w:tr w:rsidR="006179DA" w14:paraId="40C7D4EE" w14:textId="77777777" w:rsidTr="00C53AD1">
        <w:tc>
          <w:tcPr>
            <w:tcW w:w="1271" w:type="dxa"/>
          </w:tcPr>
          <w:p w14:paraId="1E0E06F7" w14:textId="77777777" w:rsidR="006179DA" w:rsidRPr="003375FD" w:rsidRDefault="006179DA" w:rsidP="006179DA">
            <w:pPr>
              <w:pStyle w:val="QRGTableTextLeft"/>
              <w:rPr>
                <w:b/>
                <w:szCs w:val="20"/>
              </w:rPr>
            </w:pPr>
            <w:r w:rsidRPr="003375FD">
              <w:rPr>
                <w:b/>
                <w:szCs w:val="20"/>
              </w:rPr>
              <w:t>PI11</w:t>
            </w:r>
          </w:p>
        </w:tc>
        <w:tc>
          <w:tcPr>
            <w:tcW w:w="3119" w:type="dxa"/>
          </w:tcPr>
          <w:p w14:paraId="1B2E02F5" w14:textId="77777777" w:rsidR="006179DA" w:rsidRPr="008B6633" w:rsidRDefault="006179DA" w:rsidP="006179DA">
            <w:pPr>
              <w:pStyle w:val="QRGTableTextLeft"/>
            </w:pPr>
            <w:r>
              <w:t>Smoking status result of women who gave birth</w:t>
            </w:r>
          </w:p>
        </w:tc>
        <w:tc>
          <w:tcPr>
            <w:tcW w:w="6090" w:type="dxa"/>
          </w:tcPr>
          <w:p w14:paraId="4F342095" w14:textId="77777777" w:rsidR="006179DA" w:rsidRPr="006179DA" w:rsidRDefault="006179DA" w:rsidP="006179DA">
            <w:pPr>
              <w:rPr>
                <w:sz w:val="22"/>
                <w:szCs w:val="22"/>
              </w:rPr>
            </w:pPr>
            <w:r w:rsidRPr="006179DA">
              <w:rPr>
                <w:sz w:val="22"/>
                <w:szCs w:val="22"/>
              </w:rPr>
              <w:t xml:space="preserve">Number and proportion of regular clients who are Indigenous, younger than 20, 20-34 years old, or 35 years and older, who gave birth within the previous 12 months and whose smoking status has been recorded as one of the following: </w:t>
            </w:r>
          </w:p>
          <w:p w14:paraId="1DD2DB15" w14:textId="77777777" w:rsidR="006179DA" w:rsidRPr="005C199D" w:rsidRDefault="006179DA" w:rsidP="006179DA">
            <w:pPr>
              <w:pStyle w:val="QRGTableTextLeft"/>
              <w:numPr>
                <w:ilvl w:val="0"/>
                <w:numId w:val="4"/>
              </w:numPr>
              <w:rPr>
                <w:szCs w:val="20"/>
              </w:rPr>
            </w:pPr>
            <w:r w:rsidRPr="005C199D">
              <w:rPr>
                <w:szCs w:val="20"/>
              </w:rPr>
              <w:t xml:space="preserve">current smoker, </w:t>
            </w:r>
          </w:p>
          <w:p w14:paraId="3D2B7E22" w14:textId="77777777" w:rsidR="006179DA" w:rsidRPr="005C199D" w:rsidRDefault="006179DA" w:rsidP="006179DA">
            <w:pPr>
              <w:pStyle w:val="QRGTableTextLeft"/>
              <w:numPr>
                <w:ilvl w:val="0"/>
                <w:numId w:val="4"/>
              </w:numPr>
              <w:rPr>
                <w:szCs w:val="20"/>
              </w:rPr>
            </w:pPr>
            <w:r w:rsidRPr="005C199D">
              <w:rPr>
                <w:szCs w:val="20"/>
              </w:rPr>
              <w:t xml:space="preserve">ex-smoker, or </w:t>
            </w:r>
          </w:p>
          <w:p w14:paraId="4892BF75" w14:textId="77777777" w:rsidR="006179DA" w:rsidRPr="0098164B" w:rsidRDefault="006179DA" w:rsidP="006179DA">
            <w:pPr>
              <w:pStyle w:val="QRGTableTextLeft"/>
              <w:numPr>
                <w:ilvl w:val="0"/>
                <w:numId w:val="4"/>
              </w:numPr>
              <w:rPr>
                <w:szCs w:val="20"/>
              </w:rPr>
            </w:pPr>
            <w:r w:rsidRPr="005C199D">
              <w:rPr>
                <w:szCs w:val="20"/>
              </w:rPr>
              <w:t>never smoked.</w:t>
            </w:r>
          </w:p>
        </w:tc>
      </w:tr>
      <w:tr w:rsidR="006179DA" w14:paraId="7CDE1534" w14:textId="77777777" w:rsidTr="00C53AD1">
        <w:tc>
          <w:tcPr>
            <w:tcW w:w="1271" w:type="dxa"/>
          </w:tcPr>
          <w:p w14:paraId="4D4077BE" w14:textId="77777777" w:rsidR="006179DA" w:rsidRPr="00E47BEB" w:rsidRDefault="006179DA" w:rsidP="006179DA">
            <w:pPr>
              <w:pStyle w:val="QRGTableTextLeft"/>
              <w:rPr>
                <w:b/>
                <w:szCs w:val="20"/>
              </w:rPr>
            </w:pPr>
            <w:r w:rsidRPr="00E47BEB">
              <w:rPr>
                <w:b/>
                <w:szCs w:val="20"/>
              </w:rPr>
              <w:lastRenderedPageBreak/>
              <w:t>PI13</w:t>
            </w:r>
          </w:p>
        </w:tc>
        <w:tc>
          <w:tcPr>
            <w:tcW w:w="3119" w:type="dxa"/>
          </w:tcPr>
          <w:p w14:paraId="3D3E803A" w14:textId="77777777" w:rsidR="006179DA" w:rsidRPr="008B6633" w:rsidRDefault="006179DA" w:rsidP="006179DA">
            <w:pPr>
              <w:pStyle w:val="QRGTableTextLeft"/>
            </w:pPr>
            <w:r>
              <w:t>First antenatal care visit</w:t>
            </w:r>
          </w:p>
        </w:tc>
        <w:tc>
          <w:tcPr>
            <w:tcW w:w="6090" w:type="dxa"/>
          </w:tcPr>
          <w:p w14:paraId="21CA007F" w14:textId="77777777" w:rsidR="006179DA" w:rsidRPr="005C199D" w:rsidRDefault="006179DA" w:rsidP="006179DA">
            <w:pPr>
              <w:pStyle w:val="QRGTableTextLeft"/>
              <w:rPr>
                <w:szCs w:val="20"/>
              </w:rPr>
            </w:pPr>
            <w:r w:rsidRPr="005C199D">
              <w:rPr>
                <w:szCs w:val="20"/>
              </w:rPr>
              <w:t>Number and proportion of regular clients who are Indigenous, who gave birth within the previous 12 months and who had gestational age recorded</w:t>
            </w:r>
            <w:r>
              <w:rPr>
                <w:szCs w:val="20"/>
              </w:rPr>
              <w:t xml:space="preserve"> at their first antenatal care </w:t>
            </w:r>
            <w:r w:rsidRPr="005C199D">
              <w:rPr>
                <w:szCs w:val="20"/>
              </w:rPr>
              <w:t>visit with results either:</w:t>
            </w:r>
          </w:p>
          <w:p w14:paraId="5D81D04B" w14:textId="77777777" w:rsidR="006179DA" w:rsidRPr="005C199D" w:rsidRDefault="006179DA" w:rsidP="006179DA">
            <w:pPr>
              <w:pStyle w:val="QRGTableTextLeft"/>
              <w:numPr>
                <w:ilvl w:val="0"/>
                <w:numId w:val="4"/>
              </w:numPr>
              <w:rPr>
                <w:szCs w:val="20"/>
              </w:rPr>
            </w:pPr>
            <w:r>
              <w:t>before</w:t>
            </w:r>
            <w:r w:rsidRPr="005C199D">
              <w:rPr>
                <w:szCs w:val="20"/>
              </w:rPr>
              <w:t xml:space="preserve"> </w:t>
            </w:r>
            <w:r>
              <w:t>11</w:t>
            </w:r>
            <w:r w:rsidRPr="005C199D">
              <w:rPr>
                <w:szCs w:val="20"/>
              </w:rPr>
              <w:t xml:space="preserve"> weeks; </w:t>
            </w:r>
          </w:p>
          <w:p w14:paraId="5820A403" w14:textId="77777777" w:rsidR="006179DA" w:rsidRPr="004F37C0" w:rsidRDefault="006179DA" w:rsidP="006179DA">
            <w:pPr>
              <w:pStyle w:val="QRGTableTextLeft"/>
              <w:numPr>
                <w:ilvl w:val="0"/>
                <w:numId w:val="4"/>
              </w:numPr>
              <w:rPr>
                <w:szCs w:val="20"/>
              </w:rPr>
            </w:pPr>
            <w:r>
              <w:t>11 to 13 weeks;</w:t>
            </w:r>
          </w:p>
          <w:p w14:paraId="7740EDF7" w14:textId="77777777" w:rsidR="006179DA" w:rsidRPr="005C199D" w:rsidRDefault="006179DA" w:rsidP="006179DA">
            <w:pPr>
              <w:pStyle w:val="QRGTableTextLeft"/>
              <w:numPr>
                <w:ilvl w:val="0"/>
                <w:numId w:val="4"/>
              </w:numPr>
              <w:rPr>
                <w:szCs w:val="20"/>
              </w:rPr>
            </w:pPr>
            <w:r>
              <w:t>14 to 19 weeks;</w:t>
            </w:r>
          </w:p>
          <w:p w14:paraId="10F605A2" w14:textId="77777777" w:rsidR="006179DA" w:rsidRPr="005C199D" w:rsidRDefault="006179DA" w:rsidP="006179DA">
            <w:pPr>
              <w:pStyle w:val="QRGTableTextLeft"/>
              <w:numPr>
                <w:ilvl w:val="0"/>
                <w:numId w:val="4"/>
              </w:numPr>
              <w:rPr>
                <w:szCs w:val="20"/>
              </w:rPr>
            </w:pPr>
            <w:r>
              <w:t>20 weeks or later</w:t>
            </w:r>
            <w:r w:rsidRPr="005C199D">
              <w:rPr>
                <w:szCs w:val="20"/>
              </w:rPr>
              <w:t xml:space="preserve">; </w:t>
            </w:r>
          </w:p>
          <w:p w14:paraId="4942D6B7" w14:textId="77777777" w:rsidR="006179DA" w:rsidRDefault="006179DA" w:rsidP="006179DA">
            <w:pPr>
              <w:pStyle w:val="QRGTableTextLeft"/>
              <w:numPr>
                <w:ilvl w:val="0"/>
                <w:numId w:val="4"/>
              </w:numPr>
              <w:rPr>
                <w:szCs w:val="20"/>
              </w:rPr>
            </w:pPr>
            <w:r w:rsidRPr="005C199D">
              <w:rPr>
                <w:szCs w:val="20"/>
              </w:rPr>
              <w:t>no result</w:t>
            </w:r>
            <w:r>
              <w:t xml:space="preserve"> recorded</w:t>
            </w:r>
            <w:r>
              <w:rPr>
                <w:szCs w:val="20"/>
              </w:rPr>
              <w:t>;</w:t>
            </w:r>
          </w:p>
          <w:p w14:paraId="24341388" w14:textId="77777777" w:rsidR="006179DA" w:rsidRPr="0098164B" w:rsidRDefault="006179DA" w:rsidP="006179DA">
            <w:pPr>
              <w:pStyle w:val="QRGTableTextLeft"/>
              <w:numPr>
                <w:ilvl w:val="0"/>
                <w:numId w:val="4"/>
              </w:numPr>
              <w:rPr>
                <w:szCs w:val="20"/>
              </w:rPr>
            </w:pPr>
            <w:r>
              <w:rPr>
                <w:szCs w:val="20"/>
              </w:rPr>
              <w:t>did not attend an antenatal care visit.</w:t>
            </w:r>
          </w:p>
        </w:tc>
      </w:tr>
    </w:tbl>
    <w:p w14:paraId="6EE0730F" w14:textId="797AA18E" w:rsidR="004332AF" w:rsidRPr="004332AF" w:rsidRDefault="00526E35" w:rsidP="004332AF">
      <w:r>
        <w:rPr>
          <w:rFonts w:ascii="Times New Roman" w:hAnsi="Times New Roman"/>
          <w:noProof/>
          <w:lang w:eastAsia="en-AU"/>
        </w:rPr>
        <mc:AlternateContent>
          <mc:Choice Requires="wps">
            <w:drawing>
              <wp:anchor distT="0" distB="0" distL="114300" distR="114300" simplePos="0" relativeHeight="251669504" behindDoc="0" locked="1" layoutInCell="1" allowOverlap="1" wp14:anchorId="413B1EA2" wp14:editId="7094C29D">
                <wp:simplePos x="0" y="0"/>
                <wp:positionH relativeFrom="column">
                  <wp:posOffset>2762250</wp:posOffset>
                </wp:positionH>
                <wp:positionV relativeFrom="page">
                  <wp:posOffset>263525</wp:posOffset>
                </wp:positionV>
                <wp:extent cx="4147185" cy="784225"/>
                <wp:effectExtent l="0" t="0" r="0" b="0"/>
                <wp:wrapNone/>
                <wp:docPr id="7" name="Text Box 7" title="Interim Processing of an IHDR Data Asset Submiss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84225"/>
                        </a:xfrm>
                        <a:prstGeom prst="rect">
                          <a:avLst/>
                        </a:prstGeom>
                        <a:noFill/>
                        <a:ln w="9525">
                          <a:noFill/>
                          <a:miter lim="800000"/>
                          <a:headEnd/>
                          <a:tailEnd/>
                        </a:ln>
                      </wps:spPr>
                      <wps:txbx>
                        <w:txbxContent>
                          <w:p w14:paraId="019EBB9D" w14:textId="77777777" w:rsidR="00526E35" w:rsidRPr="00566CBA" w:rsidRDefault="00526E35" w:rsidP="00526E35">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41902158" w14:textId="77777777" w:rsidR="00526E35" w:rsidRDefault="00526E35" w:rsidP="00526E35">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B1EA2" id="Text Box 7" o:spid="_x0000_s1033" type="#_x0000_t202" alt="Title: Interim Processing of an IHDR Data Asset Submissio" style="position:absolute;margin-left:217.5pt;margin-top:20.75pt;width:326.55pt;height:6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" filled="f" stroked="f">
                <v:textbox>
                  <w:txbxContent>
                    <w:p w14:paraId="019EBB9D" w14:textId="77777777" w:rsidR="00526E35" w:rsidRPr="00566CBA" w:rsidRDefault="00526E35" w:rsidP="00526E35">
                      <w:pPr>
                        <w:jc w:val="center"/>
                        <w:rPr>
                          <w:rFonts w:asciiTheme="minorHAnsi" w:hAnsiTheme="minorHAnsi"/>
                          <w:b/>
                          <w:sz w:val="36"/>
                          <w:szCs w:val="36"/>
                        </w:rPr>
                      </w:pPr>
                      <w:r>
                        <w:rPr>
                          <w:rFonts w:asciiTheme="minorHAnsi" w:hAnsiTheme="minorHAnsi"/>
                          <w:b/>
                          <w:sz w:val="36"/>
                          <w:szCs w:val="36"/>
                        </w:rPr>
                        <w:t>List of Approved national Key Performance Indicators (nKPIs)</w:t>
                      </w:r>
                    </w:p>
                    <w:p w14:paraId="41902158" w14:textId="77777777" w:rsidR="00526E35" w:rsidRDefault="00526E35" w:rsidP="00526E35">
                      <w:pPr>
                        <w:jc w:val="center"/>
                        <w:rPr>
                          <w:b/>
                          <w:sz w:val="36"/>
                          <w:szCs w:val="36"/>
                        </w:rPr>
                      </w:pPr>
                    </w:p>
                  </w:txbxContent>
                </v:textbox>
                <w10:wrap anchory="page"/>
                <w10:anchorlock/>
              </v:shape>
            </w:pict>
          </mc:Fallback>
        </mc:AlternateContent>
      </w:r>
    </w:p>
    <w:sectPr w:rsidR="004332AF" w:rsidRPr="004332AF" w:rsidSect="00E879CA">
      <w:type w:val="continuous"/>
      <w:pgSz w:w="11906" w:h="16838" w:code="9"/>
      <w:pgMar w:top="2127" w:right="849" w:bottom="851"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971D" w14:textId="77777777" w:rsidR="002C1233" w:rsidRDefault="002C1233" w:rsidP="00AF798B">
      <w:pPr>
        <w:spacing w:before="0" w:after="0"/>
      </w:pPr>
      <w:r>
        <w:separator/>
      </w:r>
    </w:p>
    <w:p w14:paraId="66C71923" w14:textId="77777777" w:rsidR="002C1233" w:rsidRDefault="002C1233"/>
  </w:endnote>
  <w:endnote w:type="continuationSeparator" w:id="0">
    <w:p w14:paraId="78CCDE14" w14:textId="77777777" w:rsidR="002C1233" w:rsidRDefault="002C1233" w:rsidP="00AF798B">
      <w:pPr>
        <w:spacing w:before="0" w:after="0"/>
      </w:pPr>
      <w:r>
        <w:continuationSeparator/>
      </w:r>
    </w:p>
    <w:p w14:paraId="6670AE75" w14:textId="77777777" w:rsidR="002C1233" w:rsidRDefault="002C1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12B015B9"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6179DA">
              <w:rPr>
                <w:noProof/>
              </w:rPr>
              <w:t>7</w:t>
            </w:r>
            <w:r>
              <w:rPr>
                <w:sz w:val="24"/>
              </w:rPr>
              <w:fldChar w:fldCharType="end"/>
            </w:r>
            <w:r>
              <w:t xml:space="preserve"> of </w:t>
            </w:r>
            <w:r w:rsidR="006D0B5B">
              <w:rPr>
                <w:noProof/>
              </w:rPr>
              <w:fldChar w:fldCharType="begin"/>
            </w:r>
            <w:r w:rsidR="006D0B5B">
              <w:rPr>
                <w:noProof/>
              </w:rPr>
              <w:instrText xml:space="preserve"> NUMPAGES  </w:instrText>
            </w:r>
            <w:r w:rsidR="006D0B5B">
              <w:rPr>
                <w:noProof/>
              </w:rPr>
              <w:fldChar w:fldCharType="separate"/>
            </w:r>
            <w:r w:rsidR="006179DA">
              <w:rPr>
                <w:noProof/>
              </w:rPr>
              <w:t>7</w:t>
            </w:r>
            <w:r w:rsidR="006D0B5B">
              <w:rPr>
                <w:noProof/>
              </w:rPr>
              <w:fldChar w:fldCharType="end"/>
            </w:r>
          </w:p>
        </w:sdtContent>
      </w:sdt>
    </w:sdtContent>
  </w:sdt>
  <w:p w14:paraId="083E1900"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0FF8" w14:textId="77777777" w:rsidR="002C1233" w:rsidRDefault="002C1233" w:rsidP="00AF798B">
      <w:pPr>
        <w:spacing w:before="0" w:after="0"/>
      </w:pPr>
      <w:r>
        <w:separator/>
      </w:r>
    </w:p>
    <w:p w14:paraId="06EE78A9" w14:textId="77777777" w:rsidR="002C1233" w:rsidRDefault="002C1233"/>
  </w:footnote>
  <w:footnote w:type="continuationSeparator" w:id="0">
    <w:p w14:paraId="2482E503" w14:textId="77777777" w:rsidR="002C1233" w:rsidRDefault="002C1233" w:rsidP="00AF798B">
      <w:pPr>
        <w:spacing w:before="0" w:after="0"/>
      </w:pPr>
      <w:r>
        <w:continuationSeparator/>
      </w:r>
    </w:p>
    <w:p w14:paraId="4C987AEE" w14:textId="77777777" w:rsidR="002C1233" w:rsidRDefault="002C12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E56D" w14:textId="6FEFEACA" w:rsidR="00AF798B" w:rsidRPr="000767A1" w:rsidRDefault="001A6BB6" w:rsidP="000767A1">
    <w:pPr>
      <w:pStyle w:val="QRGheadergood"/>
    </w:pPr>
    <w:r>
      <w:drawing>
        <wp:anchor distT="0" distB="0" distL="114300" distR="114300" simplePos="0" relativeHeight="251660288" behindDoc="0" locked="0" layoutInCell="1" allowOverlap="1" wp14:anchorId="620F3DFE" wp14:editId="73988D96">
          <wp:simplePos x="0" y="0"/>
          <wp:positionH relativeFrom="column">
            <wp:posOffset>-135890</wp:posOffset>
          </wp:positionH>
          <wp:positionV relativeFrom="paragraph">
            <wp:posOffset>7884</wp:posOffset>
          </wp:positionV>
          <wp:extent cx="2469068" cy="745414"/>
          <wp:effectExtent l="0" t="0" r="7620" b="0"/>
          <wp:wrapSquare wrapText="bothSides"/>
          <wp:docPr id="14" name="Picture 14" descr="picture of the 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icture of the Department of Health and Aged Care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DE12E4" w:rsidRPr="000628A2">
      <w:drawing>
        <wp:anchor distT="0" distB="0" distL="114300" distR="114300" simplePos="0" relativeHeight="251659264" behindDoc="0" locked="0" layoutInCell="1" allowOverlap="1" wp14:anchorId="675486A2" wp14:editId="30BDEC4A">
          <wp:simplePos x="0" y="0"/>
          <wp:positionH relativeFrom="column">
            <wp:posOffset>-352425</wp:posOffset>
          </wp:positionH>
          <wp:positionV relativeFrom="paragraph">
            <wp:posOffset>-162560</wp:posOffset>
          </wp:positionV>
          <wp:extent cx="7534275" cy="1045845"/>
          <wp:effectExtent l="19050" t="19050" r="28575" b="20955"/>
          <wp:wrapNone/>
          <wp:docPr id="2" name="Picture 2" descr="Top banner showing the Department of Health crest and the &quot;List of Approved national Key Performance Indicators (nKPIs)&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FB8"/>
    <w:multiLevelType w:val="hybridMultilevel"/>
    <w:tmpl w:val="1BBA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631E1"/>
    <w:multiLevelType w:val="hybridMultilevel"/>
    <w:tmpl w:val="DD16363A"/>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 w15:restartNumberingAfterBreak="0">
    <w:nsid w:val="19174619"/>
    <w:multiLevelType w:val="hybridMultilevel"/>
    <w:tmpl w:val="89D2C292"/>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D81D4E"/>
    <w:multiLevelType w:val="hybridMultilevel"/>
    <w:tmpl w:val="BD4CADD6"/>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9C7F2E"/>
    <w:multiLevelType w:val="hybridMultilevel"/>
    <w:tmpl w:val="6C242480"/>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3F051E"/>
    <w:multiLevelType w:val="hybridMultilevel"/>
    <w:tmpl w:val="E6807072"/>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417D59"/>
    <w:multiLevelType w:val="hybridMultilevel"/>
    <w:tmpl w:val="3F5283B4"/>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021FDF"/>
    <w:multiLevelType w:val="hybridMultilevel"/>
    <w:tmpl w:val="EF44A6E0"/>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857619"/>
    <w:multiLevelType w:val="hybridMultilevel"/>
    <w:tmpl w:val="CC1E3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303606"/>
    <w:multiLevelType w:val="hybridMultilevel"/>
    <w:tmpl w:val="9FF031AE"/>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214BCD"/>
    <w:multiLevelType w:val="hybridMultilevel"/>
    <w:tmpl w:val="6DE6970E"/>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AA49B5"/>
    <w:multiLevelType w:val="hybridMultilevel"/>
    <w:tmpl w:val="F60A8FD2"/>
    <w:lvl w:ilvl="0" w:tplc="34421E3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1846653">
    <w:abstractNumId w:val="7"/>
  </w:num>
  <w:num w:numId="2" w16cid:durableId="1387945405">
    <w:abstractNumId w:val="5"/>
  </w:num>
  <w:num w:numId="3" w16cid:durableId="1721976764">
    <w:abstractNumId w:val="11"/>
  </w:num>
  <w:num w:numId="4" w16cid:durableId="1468087198">
    <w:abstractNumId w:val="2"/>
  </w:num>
  <w:num w:numId="5" w16cid:durableId="1361739009">
    <w:abstractNumId w:val="10"/>
  </w:num>
  <w:num w:numId="6" w16cid:durableId="929118100">
    <w:abstractNumId w:val="4"/>
  </w:num>
  <w:num w:numId="7" w16cid:durableId="741178062">
    <w:abstractNumId w:val="3"/>
  </w:num>
  <w:num w:numId="8" w16cid:durableId="2040816965">
    <w:abstractNumId w:val="1"/>
  </w:num>
  <w:num w:numId="9" w16cid:durableId="1664238846">
    <w:abstractNumId w:val="13"/>
  </w:num>
  <w:num w:numId="10" w16cid:durableId="2074308789">
    <w:abstractNumId w:val="9"/>
  </w:num>
  <w:num w:numId="11" w16cid:durableId="2137599662">
    <w:abstractNumId w:val="8"/>
  </w:num>
  <w:num w:numId="12" w16cid:durableId="519707139">
    <w:abstractNumId w:val="6"/>
  </w:num>
  <w:num w:numId="13" w16cid:durableId="131217180">
    <w:abstractNumId w:val="0"/>
  </w:num>
  <w:num w:numId="14" w16cid:durableId="10492318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30"/>
    <w:rsid w:val="00003743"/>
    <w:rsid w:val="00027A67"/>
    <w:rsid w:val="000429A2"/>
    <w:rsid w:val="00056198"/>
    <w:rsid w:val="00056A28"/>
    <w:rsid w:val="000618F5"/>
    <w:rsid w:val="00066E33"/>
    <w:rsid w:val="00067456"/>
    <w:rsid w:val="000767A1"/>
    <w:rsid w:val="00084FF2"/>
    <w:rsid w:val="00092EDD"/>
    <w:rsid w:val="00097212"/>
    <w:rsid w:val="000C7BD5"/>
    <w:rsid w:val="000D1E4C"/>
    <w:rsid w:val="000D40B3"/>
    <w:rsid w:val="000E3CDD"/>
    <w:rsid w:val="000F5E59"/>
    <w:rsid w:val="001116CB"/>
    <w:rsid w:val="00130ADA"/>
    <w:rsid w:val="00135C0E"/>
    <w:rsid w:val="0014422E"/>
    <w:rsid w:val="00164B12"/>
    <w:rsid w:val="001662A0"/>
    <w:rsid w:val="00173B2D"/>
    <w:rsid w:val="00174220"/>
    <w:rsid w:val="00180766"/>
    <w:rsid w:val="0018348A"/>
    <w:rsid w:val="00194153"/>
    <w:rsid w:val="001A2F42"/>
    <w:rsid w:val="001A6BB6"/>
    <w:rsid w:val="001B3443"/>
    <w:rsid w:val="001C1AEA"/>
    <w:rsid w:val="001C60AA"/>
    <w:rsid w:val="001D544B"/>
    <w:rsid w:val="001E7E1B"/>
    <w:rsid w:val="001F0430"/>
    <w:rsid w:val="00200606"/>
    <w:rsid w:val="00221AE9"/>
    <w:rsid w:val="00231CB7"/>
    <w:rsid w:val="002620B3"/>
    <w:rsid w:val="002A3F77"/>
    <w:rsid w:val="002C1233"/>
    <w:rsid w:val="002D0385"/>
    <w:rsid w:val="002E4840"/>
    <w:rsid w:val="002F6D47"/>
    <w:rsid w:val="0030718B"/>
    <w:rsid w:val="0030786C"/>
    <w:rsid w:val="00313943"/>
    <w:rsid w:val="00316F6F"/>
    <w:rsid w:val="00326524"/>
    <w:rsid w:val="00327F50"/>
    <w:rsid w:val="00332C0C"/>
    <w:rsid w:val="00334191"/>
    <w:rsid w:val="003373A2"/>
    <w:rsid w:val="003375FD"/>
    <w:rsid w:val="00353649"/>
    <w:rsid w:val="00354BDB"/>
    <w:rsid w:val="00364EF2"/>
    <w:rsid w:val="00375CB4"/>
    <w:rsid w:val="0038735A"/>
    <w:rsid w:val="00395043"/>
    <w:rsid w:val="003B5DCF"/>
    <w:rsid w:val="003D17F9"/>
    <w:rsid w:val="003D3A1F"/>
    <w:rsid w:val="003D570D"/>
    <w:rsid w:val="003E0E70"/>
    <w:rsid w:val="003E4BCC"/>
    <w:rsid w:val="003F0A43"/>
    <w:rsid w:val="003F26C8"/>
    <w:rsid w:val="00404060"/>
    <w:rsid w:val="0041556B"/>
    <w:rsid w:val="0041771E"/>
    <w:rsid w:val="00425A18"/>
    <w:rsid w:val="004332AF"/>
    <w:rsid w:val="00433B62"/>
    <w:rsid w:val="00435007"/>
    <w:rsid w:val="004867E2"/>
    <w:rsid w:val="004A44B3"/>
    <w:rsid w:val="004A7CEA"/>
    <w:rsid w:val="004B0826"/>
    <w:rsid w:val="004B294B"/>
    <w:rsid w:val="004C1D97"/>
    <w:rsid w:val="004F1601"/>
    <w:rsid w:val="004F37C0"/>
    <w:rsid w:val="004F707E"/>
    <w:rsid w:val="005026F7"/>
    <w:rsid w:val="00520533"/>
    <w:rsid w:val="005233C9"/>
    <w:rsid w:val="00526E35"/>
    <w:rsid w:val="005344BC"/>
    <w:rsid w:val="00541D7E"/>
    <w:rsid w:val="00566CBA"/>
    <w:rsid w:val="0057671C"/>
    <w:rsid w:val="00577306"/>
    <w:rsid w:val="0058320B"/>
    <w:rsid w:val="005B3B62"/>
    <w:rsid w:val="005C199D"/>
    <w:rsid w:val="005E4935"/>
    <w:rsid w:val="005E68B1"/>
    <w:rsid w:val="0060546D"/>
    <w:rsid w:val="00607DF1"/>
    <w:rsid w:val="00610D87"/>
    <w:rsid w:val="00613037"/>
    <w:rsid w:val="00617815"/>
    <w:rsid w:val="006179DA"/>
    <w:rsid w:val="00621458"/>
    <w:rsid w:val="00642E87"/>
    <w:rsid w:val="00644548"/>
    <w:rsid w:val="00657B5C"/>
    <w:rsid w:val="00665D42"/>
    <w:rsid w:val="006A4A9B"/>
    <w:rsid w:val="006D0212"/>
    <w:rsid w:val="006D0B5B"/>
    <w:rsid w:val="006D7B67"/>
    <w:rsid w:val="006E0BB3"/>
    <w:rsid w:val="006E4690"/>
    <w:rsid w:val="007002BD"/>
    <w:rsid w:val="00700B0C"/>
    <w:rsid w:val="00705BE7"/>
    <w:rsid w:val="0072632D"/>
    <w:rsid w:val="007659B2"/>
    <w:rsid w:val="0077054D"/>
    <w:rsid w:val="00772A4E"/>
    <w:rsid w:val="00780367"/>
    <w:rsid w:val="00792542"/>
    <w:rsid w:val="00792C9A"/>
    <w:rsid w:val="00793165"/>
    <w:rsid w:val="007A19D5"/>
    <w:rsid w:val="007A6422"/>
    <w:rsid w:val="007B1701"/>
    <w:rsid w:val="007C273B"/>
    <w:rsid w:val="007C4D6B"/>
    <w:rsid w:val="007D0565"/>
    <w:rsid w:val="007D19F0"/>
    <w:rsid w:val="007E38D1"/>
    <w:rsid w:val="007E5224"/>
    <w:rsid w:val="007F41DF"/>
    <w:rsid w:val="007F6326"/>
    <w:rsid w:val="007F7BA2"/>
    <w:rsid w:val="0080292E"/>
    <w:rsid w:val="008124D5"/>
    <w:rsid w:val="00816584"/>
    <w:rsid w:val="008201F9"/>
    <w:rsid w:val="00820322"/>
    <w:rsid w:val="008264EB"/>
    <w:rsid w:val="00835EC2"/>
    <w:rsid w:val="0085743A"/>
    <w:rsid w:val="00857DC2"/>
    <w:rsid w:val="0086094A"/>
    <w:rsid w:val="00867F5E"/>
    <w:rsid w:val="00870FC6"/>
    <w:rsid w:val="00871C17"/>
    <w:rsid w:val="008735DC"/>
    <w:rsid w:val="00892F9F"/>
    <w:rsid w:val="008B186D"/>
    <w:rsid w:val="008D22B5"/>
    <w:rsid w:val="008D5CEF"/>
    <w:rsid w:val="008D5D5F"/>
    <w:rsid w:val="00906004"/>
    <w:rsid w:val="00913E4A"/>
    <w:rsid w:val="009164DF"/>
    <w:rsid w:val="00925422"/>
    <w:rsid w:val="009331AA"/>
    <w:rsid w:val="00942E04"/>
    <w:rsid w:val="009466DF"/>
    <w:rsid w:val="00953DF8"/>
    <w:rsid w:val="009C621E"/>
    <w:rsid w:val="009D4175"/>
    <w:rsid w:val="009D41D4"/>
    <w:rsid w:val="009E52CA"/>
    <w:rsid w:val="00A000E6"/>
    <w:rsid w:val="00A02B24"/>
    <w:rsid w:val="00A127EA"/>
    <w:rsid w:val="00A447F4"/>
    <w:rsid w:val="00A4512D"/>
    <w:rsid w:val="00A523C3"/>
    <w:rsid w:val="00A52DCD"/>
    <w:rsid w:val="00A6070D"/>
    <w:rsid w:val="00A705AF"/>
    <w:rsid w:val="00A7750E"/>
    <w:rsid w:val="00A826F7"/>
    <w:rsid w:val="00A82DF8"/>
    <w:rsid w:val="00A85D8C"/>
    <w:rsid w:val="00A915F4"/>
    <w:rsid w:val="00A94181"/>
    <w:rsid w:val="00A945C3"/>
    <w:rsid w:val="00AB1893"/>
    <w:rsid w:val="00AB49B6"/>
    <w:rsid w:val="00AC467E"/>
    <w:rsid w:val="00AD1CD6"/>
    <w:rsid w:val="00AD75E1"/>
    <w:rsid w:val="00AE5E7C"/>
    <w:rsid w:val="00AE6ABA"/>
    <w:rsid w:val="00AF798B"/>
    <w:rsid w:val="00B10198"/>
    <w:rsid w:val="00B117B1"/>
    <w:rsid w:val="00B13265"/>
    <w:rsid w:val="00B26FBF"/>
    <w:rsid w:val="00B3685B"/>
    <w:rsid w:val="00B42521"/>
    <w:rsid w:val="00B42851"/>
    <w:rsid w:val="00B44119"/>
    <w:rsid w:val="00B46C3D"/>
    <w:rsid w:val="00B53ECC"/>
    <w:rsid w:val="00B55BB9"/>
    <w:rsid w:val="00B56AFD"/>
    <w:rsid w:val="00B61514"/>
    <w:rsid w:val="00B63251"/>
    <w:rsid w:val="00B63297"/>
    <w:rsid w:val="00B844F6"/>
    <w:rsid w:val="00BC382B"/>
    <w:rsid w:val="00BD08FF"/>
    <w:rsid w:val="00BD2540"/>
    <w:rsid w:val="00BD4F4C"/>
    <w:rsid w:val="00BF676C"/>
    <w:rsid w:val="00C0443C"/>
    <w:rsid w:val="00C36B6A"/>
    <w:rsid w:val="00C575CD"/>
    <w:rsid w:val="00C65ADA"/>
    <w:rsid w:val="00C76190"/>
    <w:rsid w:val="00C816D6"/>
    <w:rsid w:val="00C8246D"/>
    <w:rsid w:val="00C84175"/>
    <w:rsid w:val="00C90B44"/>
    <w:rsid w:val="00C93D9B"/>
    <w:rsid w:val="00CB06D9"/>
    <w:rsid w:val="00CB5B1A"/>
    <w:rsid w:val="00CD7A20"/>
    <w:rsid w:val="00CF0F15"/>
    <w:rsid w:val="00CF536F"/>
    <w:rsid w:val="00CF7D5C"/>
    <w:rsid w:val="00D036DA"/>
    <w:rsid w:val="00D14831"/>
    <w:rsid w:val="00D24F7C"/>
    <w:rsid w:val="00D43094"/>
    <w:rsid w:val="00D43787"/>
    <w:rsid w:val="00D50137"/>
    <w:rsid w:val="00D53109"/>
    <w:rsid w:val="00D5390B"/>
    <w:rsid w:val="00D54C08"/>
    <w:rsid w:val="00D66381"/>
    <w:rsid w:val="00D77A10"/>
    <w:rsid w:val="00D835EF"/>
    <w:rsid w:val="00D946FE"/>
    <w:rsid w:val="00D9478E"/>
    <w:rsid w:val="00D97FE0"/>
    <w:rsid w:val="00DB6DDB"/>
    <w:rsid w:val="00DE12E4"/>
    <w:rsid w:val="00DF189B"/>
    <w:rsid w:val="00DF6B0E"/>
    <w:rsid w:val="00E15715"/>
    <w:rsid w:val="00E239FF"/>
    <w:rsid w:val="00E23C52"/>
    <w:rsid w:val="00E33572"/>
    <w:rsid w:val="00E37B85"/>
    <w:rsid w:val="00E47BEB"/>
    <w:rsid w:val="00E63311"/>
    <w:rsid w:val="00E63CD7"/>
    <w:rsid w:val="00E64847"/>
    <w:rsid w:val="00E7002A"/>
    <w:rsid w:val="00E86813"/>
    <w:rsid w:val="00E879CA"/>
    <w:rsid w:val="00E970A8"/>
    <w:rsid w:val="00EA3F7A"/>
    <w:rsid w:val="00EB0A60"/>
    <w:rsid w:val="00EB22E0"/>
    <w:rsid w:val="00EB4254"/>
    <w:rsid w:val="00EB6A7A"/>
    <w:rsid w:val="00EE1770"/>
    <w:rsid w:val="00EF0662"/>
    <w:rsid w:val="00EF06E1"/>
    <w:rsid w:val="00EF2F84"/>
    <w:rsid w:val="00F307F6"/>
    <w:rsid w:val="00F34188"/>
    <w:rsid w:val="00F36D59"/>
    <w:rsid w:val="00F42C55"/>
    <w:rsid w:val="00F46378"/>
    <w:rsid w:val="00F61534"/>
    <w:rsid w:val="00F6744D"/>
    <w:rsid w:val="00F67F37"/>
    <w:rsid w:val="00F735B2"/>
    <w:rsid w:val="00F95081"/>
    <w:rsid w:val="00FB4582"/>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37DB2"/>
  <w15:docId w15:val="{D957440C-E37F-4B81-BB75-48EB7D2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607DF1"/>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42E04"/>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customStyle="1" w:styleId="QRGheadergood">
    <w:name w:val="QRG header good"/>
    <w:basedOn w:val="Header"/>
    <w:autoRedefine/>
    <w:qFormat/>
    <w:rsid w:val="000767A1"/>
    <w:rPr>
      <w:noProof/>
      <w:lang w:eastAsia="en-AU"/>
    </w:rPr>
  </w:style>
  <w:style w:type="paragraph" w:styleId="NormalWeb">
    <w:name w:val="Normal (Web)"/>
    <w:basedOn w:val="Normal"/>
    <w:uiPriority w:val="99"/>
    <w:unhideWhenUsed/>
    <w:rsid w:val="0030718B"/>
    <w:rPr>
      <w:rFonts w:ascii="Times New Roman" w:hAnsi="Times New Roman"/>
    </w:rPr>
  </w:style>
  <w:style w:type="character" w:styleId="Hyperlink">
    <w:name w:val="Hyperlink"/>
    <w:basedOn w:val="DefaultParagraphFont"/>
    <w:uiPriority w:val="99"/>
    <w:unhideWhenUsed/>
    <w:rsid w:val="003E4BCC"/>
    <w:rPr>
      <w:color w:val="0000FF" w:themeColor="hyperlink"/>
      <w:u w:val="single"/>
    </w:rPr>
  </w:style>
  <w:style w:type="paragraph" w:styleId="ListParagraph">
    <w:name w:val="List Paragraph"/>
    <w:basedOn w:val="Normal"/>
    <w:uiPriority w:val="34"/>
    <w:qFormat/>
    <w:rsid w:val="00541D7E"/>
    <w:pPr>
      <w:ind w:left="720"/>
      <w:contextualSpacing/>
    </w:pPr>
  </w:style>
  <w:style w:type="character" w:styleId="FollowedHyperlink">
    <w:name w:val="FollowedHyperlink"/>
    <w:basedOn w:val="DefaultParagraphFont"/>
    <w:semiHidden/>
    <w:unhideWhenUsed/>
    <w:rsid w:val="003D57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5804">
      <w:bodyDiv w:val="1"/>
      <w:marLeft w:val="0"/>
      <w:marRight w:val="0"/>
      <w:marTop w:val="0"/>
      <w:marBottom w:val="0"/>
      <w:divBdr>
        <w:top w:val="none" w:sz="0" w:space="0" w:color="auto"/>
        <w:left w:val="none" w:sz="0" w:space="0" w:color="auto"/>
        <w:bottom w:val="none" w:sz="0" w:space="0" w:color="auto"/>
        <w:right w:val="none" w:sz="0" w:space="0" w:color="auto"/>
      </w:divBdr>
    </w:div>
    <w:div w:id="13134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Indigenous%20Primary%20Health%20Care%20Key%20Performance%20Indicat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7</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List of Approved National Key Performance Indicators (nKPIs)</vt:lpstr>
    </vt:vector>
  </TitlesOfParts>
  <Company>Department of Immigration and Border Protection</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Approved National Key Performance Indicators (nKPIs)</dc:title>
  <dc:creator>Joel Dennerley</dc:creator>
  <cp:lastModifiedBy>DUNN, Stuart</cp:lastModifiedBy>
  <cp:revision>51</cp:revision>
  <cp:lastPrinted>2018-06-29T05:23:00Z</cp:lastPrinted>
  <dcterms:created xsi:type="dcterms:W3CDTF">2019-07-24T23:23:00Z</dcterms:created>
  <dcterms:modified xsi:type="dcterms:W3CDTF">2023-10-22T22:46:00Z</dcterms:modified>
</cp:coreProperties>
</file>