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5C88" w14:textId="1579D52B" w:rsidR="000F5A5D" w:rsidRPr="008215DE" w:rsidRDefault="00C7183D" w:rsidP="000F5A5D">
      <w:pPr>
        <w:pStyle w:val="QRGHead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306B3" wp14:editId="71EC3C80">
                <wp:simplePos x="0" y="0"/>
                <wp:positionH relativeFrom="column">
                  <wp:posOffset>2764155</wp:posOffset>
                </wp:positionH>
                <wp:positionV relativeFrom="page">
                  <wp:posOffset>276225</wp:posOffset>
                </wp:positionV>
                <wp:extent cx="4147185" cy="741045"/>
                <wp:effectExtent l="0" t="0" r="0" b="1905"/>
                <wp:wrapNone/>
                <wp:docPr id="307" name="Text Box 307" descr="The QLIK Stakeholder nKPI and OSR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1730" w14:textId="06D203ED" w:rsidR="00786372" w:rsidRPr="00984ADD" w:rsidRDefault="00786372" w:rsidP="002A05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The QLIK</w:t>
                            </w:r>
                            <w:r w:rsidRPr="000E64E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5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Performance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12D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Report</w:t>
                            </w:r>
                            <w:r w:rsidR="00315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app</w:t>
                            </w:r>
                            <w:r w:rsidR="00996E9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for DSS FAMs</w:t>
                            </w:r>
                          </w:p>
                          <w:p w14:paraId="36197B68" w14:textId="77777777" w:rsidR="00786372" w:rsidRPr="00984ADD" w:rsidRDefault="00786372" w:rsidP="007709C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306B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he QLIK Stakeholder nKPI and OSR Report" style="position:absolute;margin-left:217.65pt;margin-top:21.75pt;width:326.55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/X+AEAAM0DAAAOAAAAZHJzL2Uyb0RvYy54bWysU11v2yAUfZ+0/4B4X2xHzpJacaquXadJ&#10;3YfU7QdgjGM04DIgsbNfvwt202h9q+YHxPWFc+8597C9HrUiR+G8BFPTYpFTIgyHVpp9TX/+uH+3&#10;oc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" filled="f" stroked="f">
                <v:textbox>
                  <w:txbxContent>
                    <w:p w14:paraId="76AF1730" w14:textId="06D203ED" w:rsidR="00786372" w:rsidRPr="00984ADD" w:rsidRDefault="00786372" w:rsidP="002A051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The QLIK</w:t>
                      </w:r>
                      <w:r w:rsidRPr="000E64E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1503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Performance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812D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Report</w:t>
                      </w:r>
                      <w:r w:rsidR="0031503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app</w:t>
                      </w:r>
                      <w:r w:rsidR="00996E9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for DSS FAMs</w:t>
                      </w:r>
                    </w:p>
                    <w:p w14:paraId="36197B68" w14:textId="77777777" w:rsidR="00786372" w:rsidRPr="00984ADD" w:rsidRDefault="00786372" w:rsidP="007709C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678DC">
        <w:t>The QLIK IAHP – Performance Report app</w:t>
      </w:r>
    </w:p>
    <w:p w14:paraId="11A1EFA2" w14:textId="0F2DC3D6" w:rsidR="000F5A5D" w:rsidRPr="00B9238F" w:rsidRDefault="000F5A5D" w:rsidP="0031503E">
      <w:pPr>
        <w:pStyle w:val="QRGText"/>
        <w:rPr>
          <w:iCs/>
        </w:rPr>
      </w:pPr>
      <w:r>
        <w:t xml:space="preserve">The </w:t>
      </w:r>
      <w:r w:rsidR="00965C1C" w:rsidRPr="00DE62F4">
        <w:rPr>
          <w:i/>
        </w:rPr>
        <w:t>QLIK</w:t>
      </w:r>
      <w:r w:rsidR="000678DC">
        <w:rPr>
          <w:i/>
        </w:rPr>
        <w:t xml:space="preserve"> </w:t>
      </w:r>
      <w:r w:rsidR="0031503E">
        <w:rPr>
          <w:i/>
        </w:rPr>
        <w:t xml:space="preserve">IAHP – Performance Report </w:t>
      </w:r>
      <w:r w:rsidR="0031503E" w:rsidRPr="0031503E">
        <w:rPr>
          <w:iCs/>
        </w:rPr>
        <w:t>app</w:t>
      </w:r>
      <w:r w:rsidR="0031503E">
        <w:rPr>
          <w:iCs/>
        </w:rPr>
        <w:t xml:space="preserve"> </w:t>
      </w:r>
      <w:r w:rsidR="00B9238F">
        <w:rPr>
          <w:iCs/>
        </w:rPr>
        <w:t xml:space="preserve">allows DSS Funding Agreement Managers (FAMs) to view all the information entered by health services in their </w:t>
      </w:r>
      <w:r w:rsidR="00B9238F" w:rsidRPr="00B9238F">
        <w:rPr>
          <w:i/>
        </w:rPr>
        <w:t>IAHP PHC Performance Reports</w:t>
      </w:r>
      <w:r w:rsidR="00B9238F">
        <w:rPr>
          <w:i/>
        </w:rPr>
        <w:t xml:space="preserve"> </w:t>
      </w:r>
      <w:r w:rsidR="00B9238F">
        <w:rPr>
          <w:iCs/>
        </w:rPr>
        <w:t xml:space="preserve">through the Health Data Portal each September. It allows you to either view complete Performance Reports for a particular health service or focus on </w:t>
      </w:r>
      <w:r w:rsidR="00844CA1">
        <w:rPr>
          <w:iCs/>
        </w:rPr>
        <w:t>aspects</w:t>
      </w:r>
      <w:r w:rsidR="00B9238F">
        <w:rPr>
          <w:iCs/>
        </w:rPr>
        <w:t xml:space="preserve"> of the performance report for all services, or for a grouping of your choice.</w:t>
      </w:r>
    </w:p>
    <w:p w14:paraId="0C72C217" w14:textId="2B96E02A" w:rsidR="000D18B7" w:rsidRDefault="0031503E" w:rsidP="000F5A5D">
      <w:pPr>
        <w:pStyle w:val="QRGText"/>
      </w:pPr>
      <w:r>
        <w:t xml:space="preserve">To access the </w:t>
      </w:r>
      <w:r w:rsidRPr="0031503E">
        <w:rPr>
          <w:i/>
          <w:iCs/>
        </w:rPr>
        <w:t>QLIK IAHP – Performance Report</w:t>
      </w:r>
      <w:r>
        <w:t xml:space="preserve"> app:</w:t>
      </w:r>
    </w:p>
    <w:p w14:paraId="168B88A4" w14:textId="6F0745FC" w:rsidR="0031503E" w:rsidRDefault="0031503E" w:rsidP="0031503E">
      <w:pPr>
        <w:pStyle w:val="QRGNumbering1"/>
      </w:pPr>
      <w:r>
        <w:rPr>
          <w:lang w:bidi="en-US"/>
        </w:rPr>
        <w:t xml:space="preserve">From the Data Portal home screen, select </w:t>
      </w:r>
      <w:r w:rsidRPr="0031503E">
        <w:rPr>
          <w:b/>
          <w:bCs/>
          <w:lang w:bidi="en-US"/>
        </w:rPr>
        <w:t>Reports &gt; Interactive Reports</w:t>
      </w:r>
      <w:r>
        <w:rPr>
          <w:lang w:bidi="en-US"/>
        </w:rPr>
        <w:t>.</w:t>
      </w:r>
    </w:p>
    <w:p w14:paraId="70EF78B9" w14:textId="47B15E0A" w:rsidR="0031503E" w:rsidRDefault="0031503E" w:rsidP="0031503E">
      <w:pPr>
        <w:pStyle w:val="QRGNumbering1"/>
      </w:pPr>
      <w:r>
        <w:t xml:space="preserve">On the QLIK screen that displays, select </w:t>
      </w:r>
      <w:r w:rsidRPr="0031503E">
        <w:rPr>
          <w:b/>
          <w:bCs/>
        </w:rPr>
        <w:t>Indigenous Health</w:t>
      </w:r>
      <w:r>
        <w:t xml:space="preserve"> on the left-hand side.</w:t>
      </w:r>
    </w:p>
    <w:p w14:paraId="7A717774" w14:textId="3D65C8EA" w:rsidR="0031503E" w:rsidRDefault="0031503E" w:rsidP="0031503E">
      <w:pPr>
        <w:pStyle w:val="QRGNumbering1"/>
      </w:pPr>
      <w:r>
        <w:t xml:space="preserve">On the right-hand side of the screen, select the </w:t>
      </w:r>
      <w:r w:rsidRPr="0031503E">
        <w:rPr>
          <w:b/>
          <w:bCs/>
        </w:rPr>
        <w:t>IAHP – Performance Report</w:t>
      </w:r>
      <w:r>
        <w:t xml:space="preserve"> tile.</w:t>
      </w:r>
    </w:p>
    <w:p w14:paraId="04D98FEE" w14:textId="16DDBB61" w:rsidR="0031503E" w:rsidRDefault="0031503E" w:rsidP="0031503E">
      <w:pPr>
        <w:pStyle w:val="QRGText"/>
      </w:pPr>
      <w:r>
        <w:t>The IAHP – Performance Report sheet will display.</w:t>
      </w:r>
    </w:p>
    <w:p w14:paraId="4D948AD0" w14:textId="3A2274DA" w:rsidR="0031503E" w:rsidRPr="0031503E" w:rsidRDefault="0031503E" w:rsidP="0031503E">
      <w:pPr>
        <w:pStyle w:val="QRGPictureCentre"/>
      </w:pPr>
      <w:r>
        <w:drawing>
          <wp:inline distT="0" distB="0" distL="0" distR="0" wp14:anchorId="0E60CF5D" wp14:editId="68FF9498">
            <wp:extent cx="3095625" cy="1733550"/>
            <wp:effectExtent l="19050" t="19050" r="28575" b="19050"/>
            <wp:docPr id="989" name="Picture 989" descr="picture of the IAHP - Performance Repor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Picture 989" descr="picture of the IAHP - Performance Report sc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6952F0" w14:textId="55D71253" w:rsidR="0031503E" w:rsidRDefault="0031503E" w:rsidP="0031503E">
      <w:pPr>
        <w:pStyle w:val="QRGNumbering1"/>
      </w:pPr>
      <w:r>
        <w:t xml:space="preserve">To display the report, select the </w:t>
      </w:r>
      <w:r w:rsidRPr="0031503E">
        <w:rPr>
          <w:b/>
          <w:bCs/>
        </w:rPr>
        <w:t>IAHP Performance Report</w:t>
      </w:r>
      <w:r>
        <w:t xml:space="preserve"> sheet.</w:t>
      </w:r>
    </w:p>
    <w:p w14:paraId="36E6E394" w14:textId="4748C31B" w:rsidR="0031503E" w:rsidRDefault="000678DC" w:rsidP="000678DC">
      <w:pPr>
        <w:pStyle w:val="QRGText"/>
      </w:pPr>
      <w:r>
        <w:t>The IAHP Performance Report screen will display.</w:t>
      </w:r>
    </w:p>
    <w:p w14:paraId="4D71B7DA" w14:textId="0D37F10B" w:rsidR="000678DC" w:rsidRDefault="000678DC" w:rsidP="000678DC">
      <w:pPr>
        <w:pStyle w:val="QRGPictureCentre"/>
      </w:pPr>
      <w:r>
        <w:drawing>
          <wp:inline distT="0" distB="0" distL="0" distR="0" wp14:anchorId="2901D3A3" wp14:editId="228AEAC8">
            <wp:extent cx="3105150" cy="1666875"/>
            <wp:effectExtent l="19050" t="19050" r="19050" b="28575"/>
            <wp:docPr id="334" name="Picture 334" descr="picture of the IAHP Performance Repor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 descr="picture of the IAHP Performance Report sc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5A4E8A" w14:textId="0AFB5EF3" w:rsidR="00483FF0" w:rsidRDefault="00B9238F" w:rsidP="00483FF0">
      <w:pPr>
        <w:pStyle w:val="QRGText"/>
        <w:rPr>
          <w:lang w:eastAsia="en-AU"/>
        </w:rPr>
      </w:pPr>
      <w:r>
        <w:rPr>
          <w:lang w:eastAsia="en-AU"/>
        </w:rPr>
        <w:t xml:space="preserve">A list of all health services </w:t>
      </w:r>
      <w:r w:rsidR="00844CA1">
        <w:rPr>
          <w:lang w:eastAsia="en-AU"/>
        </w:rPr>
        <w:t xml:space="preserve">will display, along with their performance report information, broken </w:t>
      </w:r>
      <w:r w:rsidR="00844CA1">
        <w:rPr>
          <w:lang w:eastAsia="en-AU"/>
        </w:rPr>
        <w:t xml:space="preserve">down by section, with the </w:t>
      </w:r>
      <w:r w:rsidR="00844CA1" w:rsidRPr="00844CA1">
        <w:rPr>
          <w:i/>
          <w:iCs/>
          <w:lang w:eastAsia="en-AU"/>
        </w:rPr>
        <w:t>Grant Information</w:t>
      </w:r>
      <w:r w:rsidR="00844CA1">
        <w:rPr>
          <w:lang w:eastAsia="en-AU"/>
        </w:rPr>
        <w:t xml:space="preserve"> section displaying first.  </w:t>
      </w:r>
    </w:p>
    <w:p w14:paraId="68765582" w14:textId="6A9021DB" w:rsidR="00D63938" w:rsidRDefault="00D63938" w:rsidP="00D63938">
      <w:pPr>
        <w:pStyle w:val="QRGNumbering1"/>
        <w:rPr>
          <w:lang w:eastAsia="en-AU"/>
        </w:rPr>
      </w:pPr>
      <w:r>
        <w:rPr>
          <w:lang w:eastAsia="en-AU"/>
        </w:rPr>
        <w:t xml:space="preserve">If needed, the filter fields at the top of the sheet can be used to filter the information displaying in the table by </w:t>
      </w:r>
      <w:r w:rsidRPr="00D63938">
        <w:rPr>
          <w:i/>
          <w:iCs/>
          <w:lang w:eastAsia="en-AU"/>
        </w:rPr>
        <w:t>state</w:t>
      </w:r>
      <w:r>
        <w:rPr>
          <w:lang w:eastAsia="en-AU"/>
        </w:rPr>
        <w:t xml:space="preserve">, </w:t>
      </w:r>
      <w:r w:rsidRPr="00D63938">
        <w:rPr>
          <w:i/>
          <w:iCs/>
          <w:lang w:eastAsia="en-AU"/>
        </w:rPr>
        <w:t>remoteness</w:t>
      </w:r>
      <w:r>
        <w:rPr>
          <w:lang w:eastAsia="en-AU"/>
        </w:rPr>
        <w:t xml:space="preserve">, or </w:t>
      </w:r>
      <w:r w:rsidRPr="00D63938">
        <w:rPr>
          <w:i/>
          <w:iCs/>
          <w:lang w:eastAsia="en-AU"/>
        </w:rPr>
        <w:t>service size</w:t>
      </w:r>
      <w:r>
        <w:rPr>
          <w:lang w:eastAsia="en-AU"/>
        </w:rPr>
        <w:t>.</w:t>
      </w:r>
    </w:p>
    <w:p w14:paraId="366FB24A" w14:textId="1795D114" w:rsidR="00D63938" w:rsidRDefault="00D63938" w:rsidP="00D63938">
      <w:pPr>
        <w:pStyle w:val="QRGNumbering1"/>
        <w:rPr>
          <w:lang w:eastAsia="en-AU"/>
        </w:rPr>
      </w:pPr>
      <w:r>
        <w:rPr>
          <w:lang w:eastAsia="en-AU"/>
        </w:rPr>
        <w:t xml:space="preserve">The magnifying glasses in the header rows of the table can also be used to filter the information by </w:t>
      </w:r>
      <w:r w:rsidRPr="00D63938">
        <w:rPr>
          <w:i/>
          <w:iCs/>
          <w:lang w:eastAsia="en-AU"/>
        </w:rPr>
        <w:t>service name</w:t>
      </w:r>
      <w:r>
        <w:rPr>
          <w:lang w:eastAsia="en-AU"/>
        </w:rPr>
        <w:t xml:space="preserve">. </w:t>
      </w:r>
      <w:r w:rsidRPr="00D63938">
        <w:rPr>
          <w:i/>
          <w:iCs/>
          <w:lang w:eastAsia="en-AU"/>
        </w:rPr>
        <w:t>reporting round</w:t>
      </w:r>
      <w:r>
        <w:rPr>
          <w:lang w:eastAsia="en-AU"/>
        </w:rPr>
        <w:t>, and particular elements of the Performance Report itself.</w:t>
      </w:r>
    </w:p>
    <w:p w14:paraId="1C840770" w14:textId="5EFC332E" w:rsidR="00D63938" w:rsidRDefault="00D63938" w:rsidP="00D63938">
      <w:pPr>
        <w:pStyle w:val="QRGPictureCentre"/>
      </w:pPr>
      <w:r>
        <w:drawing>
          <wp:inline distT="0" distB="0" distL="0" distR="0" wp14:anchorId="2AC5718C" wp14:editId="7F1EE230">
            <wp:extent cx="1461600" cy="4251600"/>
            <wp:effectExtent l="19050" t="19050" r="24765" b="15875"/>
            <wp:docPr id="2" name="Picture 2" descr="picture of the filter section of the IAHP Performance Report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 of the filter section of the IAHP Performance Report sh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425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D615CB" w14:textId="14CBDD5D" w:rsidR="00D63938" w:rsidRDefault="00D63938" w:rsidP="00B51547">
      <w:pPr>
        <w:pStyle w:val="QRGText"/>
        <w:rPr>
          <w:lang w:eastAsia="en-AU"/>
        </w:rPr>
      </w:pPr>
      <w:r>
        <w:rPr>
          <w:lang w:eastAsia="en-AU"/>
        </w:rPr>
        <w:t>Lastly, the filter section on the left-hand side of the sheet can be used to filter the information displayed in the table by the different PHC services that health services deliver.</w:t>
      </w:r>
    </w:p>
    <w:p w14:paraId="22E1A7C2" w14:textId="73CCA454" w:rsidR="00D63938" w:rsidRPr="00B51547" w:rsidRDefault="00B51547" w:rsidP="00D63938">
      <w:pPr>
        <w:pStyle w:val="QRGNumbering1"/>
        <w:rPr>
          <w:lang w:eastAsia="en-AU"/>
        </w:rPr>
      </w:pPr>
      <w:r>
        <w:rPr>
          <w:lang w:eastAsia="en-AU"/>
        </w:rPr>
        <w:t xml:space="preserve">To use this filter section, select the service you wish to focus on (for example </w:t>
      </w:r>
      <w:r w:rsidRPr="00B51547">
        <w:rPr>
          <w:i/>
          <w:iCs/>
          <w:lang w:eastAsia="en-AU"/>
        </w:rPr>
        <w:t>Eye Health</w:t>
      </w:r>
      <w:r>
        <w:rPr>
          <w:lang w:eastAsia="en-AU"/>
        </w:rPr>
        <w:t xml:space="preserve">, </w:t>
      </w:r>
      <w:r w:rsidRPr="00B51547">
        <w:rPr>
          <w:i/>
          <w:iCs/>
          <w:lang w:eastAsia="en-AU"/>
        </w:rPr>
        <w:t>Ear Health</w:t>
      </w:r>
      <w:r>
        <w:rPr>
          <w:lang w:eastAsia="en-AU"/>
        </w:rPr>
        <w:t xml:space="preserve"> and </w:t>
      </w:r>
      <w:r w:rsidRPr="00B51547">
        <w:rPr>
          <w:i/>
          <w:iCs/>
          <w:lang w:eastAsia="en-AU"/>
        </w:rPr>
        <w:t>Baby and Women’s Health)</w:t>
      </w:r>
      <w:r>
        <w:rPr>
          <w:i/>
          <w:iCs/>
          <w:lang w:eastAsia="en-AU"/>
        </w:rPr>
        <w:t xml:space="preserve"> </w:t>
      </w:r>
      <w:r w:rsidRPr="00B51547">
        <w:rPr>
          <w:lang w:eastAsia="en-AU"/>
        </w:rPr>
        <w:t>and then select</w:t>
      </w:r>
      <w:r>
        <w:rPr>
          <w:i/>
          <w:iCs/>
          <w:lang w:eastAsia="en-AU"/>
        </w:rPr>
        <w:t xml:space="preserve"> </w:t>
      </w:r>
      <w:r>
        <w:rPr>
          <w:lang w:eastAsia="en-AU"/>
        </w:rPr>
        <w:t xml:space="preserve">either </w:t>
      </w:r>
      <w:r w:rsidRPr="00B51547">
        <w:rPr>
          <w:b/>
          <w:bCs/>
          <w:lang w:eastAsia="en-AU"/>
        </w:rPr>
        <w:t>Achieved</w:t>
      </w:r>
      <w:r>
        <w:rPr>
          <w:lang w:eastAsia="en-AU"/>
        </w:rPr>
        <w:t xml:space="preserve">, </w:t>
      </w:r>
      <w:r w:rsidRPr="00B51547">
        <w:rPr>
          <w:b/>
          <w:bCs/>
          <w:lang w:eastAsia="en-AU"/>
        </w:rPr>
        <w:t>Partially Achieved</w:t>
      </w:r>
      <w:r>
        <w:rPr>
          <w:lang w:eastAsia="en-AU"/>
        </w:rPr>
        <w:t xml:space="preserve"> or </w:t>
      </w:r>
      <w:r w:rsidRPr="00B51547">
        <w:rPr>
          <w:b/>
          <w:bCs/>
          <w:lang w:eastAsia="en-AU"/>
        </w:rPr>
        <w:t>Stalled/Delays</w:t>
      </w:r>
      <w:r>
        <w:rPr>
          <w:lang w:eastAsia="en-AU"/>
        </w:rPr>
        <w:t>.</w:t>
      </w:r>
    </w:p>
    <w:p w14:paraId="4176BBB0" w14:textId="20800F92" w:rsidR="00B51547" w:rsidRDefault="00425B56" w:rsidP="00425B56">
      <w:pPr>
        <w:pStyle w:val="QRGText"/>
        <w:rPr>
          <w:lang w:eastAsia="en-AU"/>
        </w:rPr>
      </w:pPr>
      <w:r>
        <w:rPr>
          <w:lang w:eastAsia="en-AU"/>
        </w:rPr>
        <w:t>The table will then be filtered to display a list of services who have nominated the rating for the selected PHC service they deliver.</w:t>
      </w:r>
    </w:p>
    <w:p w14:paraId="256681E6" w14:textId="77777777" w:rsidR="00B9238F" w:rsidRDefault="00B9238F" w:rsidP="00483FF0">
      <w:pPr>
        <w:pStyle w:val="QRGText"/>
        <w:rPr>
          <w:lang w:eastAsia="en-AU"/>
        </w:rPr>
      </w:pPr>
    </w:p>
    <w:sectPr w:rsidR="00B9238F" w:rsidSect="00C671AD">
      <w:headerReference w:type="default" r:id="rId11"/>
      <w:footerReference w:type="default" r:id="rId12"/>
      <w:type w:val="continuous"/>
      <w:pgSz w:w="11906" w:h="16838" w:code="9"/>
      <w:pgMar w:top="1985" w:right="851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E387" w14:textId="77777777" w:rsidR="001A743A" w:rsidRDefault="001A743A" w:rsidP="00AF798B">
      <w:pPr>
        <w:spacing w:before="0" w:after="0"/>
      </w:pPr>
      <w:r>
        <w:separator/>
      </w:r>
    </w:p>
    <w:p w14:paraId="60B37181" w14:textId="77777777" w:rsidR="001A743A" w:rsidRDefault="001A743A"/>
  </w:endnote>
  <w:endnote w:type="continuationSeparator" w:id="0">
    <w:p w14:paraId="77DFA1CD" w14:textId="77777777" w:rsidR="001A743A" w:rsidRDefault="001A743A" w:rsidP="00AF798B">
      <w:pPr>
        <w:spacing w:before="0" w:after="0"/>
      </w:pPr>
      <w:r>
        <w:continuationSeparator/>
      </w:r>
    </w:p>
    <w:p w14:paraId="594F3FA4" w14:textId="77777777" w:rsidR="001A743A" w:rsidRDefault="001A7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5613033B" w14:textId="77777777" w:rsidR="00786372" w:rsidRDefault="00786372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E50C9">
              <w:rPr>
                <w:noProof/>
              </w:rPr>
              <w:t>4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6E50C9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26FCA5F" w14:textId="77777777" w:rsidR="00786372" w:rsidRDefault="007863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CF9C" w14:textId="77777777" w:rsidR="001A743A" w:rsidRDefault="001A743A" w:rsidP="00AF798B">
      <w:pPr>
        <w:spacing w:before="0" w:after="0"/>
      </w:pPr>
      <w:r>
        <w:separator/>
      </w:r>
    </w:p>
    <w:p w14:paraId="410F5216" w14:textId="77777777" w:rsidR="001A743A" w:rsidRDefault="001A743A"/>
  </w:footnote>
  <w:footnote w:type="continuationSeparator" w:id="0">
    <w:p w14:paraId="69DCDBBF" w14:textId="77777777" w:rsidR="001A743A" w:rsidRDefault="001A743A" w:rsidP="00AF798B">
      <w:pPr>
        <w:spacing w:before="0" w:after="0"/>
      </w:pPr>
      <w:r>
        <w:continuationSeparator/>
      </w:r>
    </w:p>
    <w:p w14:paraId="58E70CF2" w14:textId="77777777" w:rsidR="001A743A" w:rsidRDefault="001A7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F488" w14:textId="4D0110FE" w:rsidR="00786372" w:rsidRPr="000767A1" w:rsidRDefault="002448D2" w:rsidP="000767A1">
    <w:pPr>
      <w:pStyle w:val="QRGheadergood"/>
    </w:pPr>
    <w:r>
      <w:drawing>
        <wp:anchor distT="0" distB="0" distL="114300" distR="114300" simplePos="0" relativeHeight="251660288" behindDoc="0" locked="0" layoutInCell="1" allowOverlap="1" wp14:anchorId="3CF5B265" wp14:editId="2786D676">
          <wp:simplePos x="0" y="0"/>
          <wp:positionH relativeFrom="column">
            <wp:posOffset>-146685</wp:posOffset>
          </wp:positionH>
          <wp:positionV relativeFrom="paragraph">
            <wp:posOffset>17516</wp:posOffset>
          </wp:positionV>
          <wp:extent cx="2469068" cy="745414"/>
          <wp:effectExtent l="0" t="0" r="7620" b="0"/>
          <wp:wrapSquare wrapText="bothSides"/>
          <wp:docPr id="9" name="Picture 9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372" w:rsidRPr="000628A2">
      <w:drawing>
        <wp:anchor distT="0" distB="0" distL="114300" distR="114300" simplePos="0" relativeHeight="251659264" behindDoc="0" locked="0" layoutInCell="1" allowOverlap="1" wp14:anchorId="5CDD9AA5" wp14:editId="3C82882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1" name="Picture 1" descr="Top banner showing the Department of Health crest and the &quot;Indigenous Health Data Reports in QLIK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Title: Arrow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" o:bullet="t">
        <v:imagedata r:id="rId1" o:title="" cropbottom="-244f"/>
      </v:shape>
    </w:pict>
  </w:numPicBullet>
  <w:numPicBullet w:numPicBulletId="1">
    <w:pict>
      <v:shape id="_x0000_i1093" type="#_x0000_t75" alt="Title: individual nKPI report" style="width:28.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" o:bullet="t">
        <v:imagedata r:id="rId2" o:title=""/>
      </v:shape>
    </w:pict>
  </w:numPicBullet>
  <w:numPicBullet w:numPicBulletId="2">
    <w:pict>
      <v:shape id="_x0000_i1094" type="#_x0000_t75" alt="Title: individual indicator report button" style="width:29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CB8EA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A29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01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D6A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56E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2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241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E84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8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B8A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C3F6E"/>
    <w:multiLevelType w:val="hybridMultilevel"/>
    <w:tmpl w:val="AF2A7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CD4FA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A396D"/>
    <w:multiLevelType w:val="hybridMultilevel"/>
    <w:tmpl w:val="A2B47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1B43"/>
    <w:multiLevelType w:val="hybridMultilevel"/>
    <w:tmpl w:val="AF2A7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CD4FA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02B55"/>
    <w:multiLevelType w:val="hybridMultilevel"/>
    <w:tmpl w:val="15025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051E"/>
    <w:multiLevelType w:val="hybridMultilevel"/>
    <w:tmpl w:val="09C08A2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C3C5A"/>
    <w:multiLevelType w:val="hybridMultilevel"/>
    <w:tmpl w:val="03B0F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B3E40"/>
    <w:multiLevelType w:val="hybridMultilevel"/>
    <w:tmpl w:val="AF2A7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CD4FA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A1D30"/>
    <w:multiLevelType w:val="hybridMultilevel"/>
    <w:tmpl w:val="FD50A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24CE7"/>
    <w:multiLevelType w:val="hybridMultilevel"/>
    <w:tmpl w:val="AF2A7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CD4FA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1A5A"/>
    <w:multiLevelType w:val="hybridMultilevel"/>
    <w:tmpl w:val="24F0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B1212"/>
    <w:multiLevelType w:val="hybridMultilevel"/>
    <w:tmpl w:val="F46EA654"/>
    <w:lvl w:ilvl="0" w:tplc="0B9A81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>
      <w:startOverride w:val="1"/>
    </w:lvlOverride>
  </w:num>
  <w:num w:numId="18">
    <w:abstractNumId w:val="22"/>
  </w:num>
  <w:num w:numId="19">
    <w:abstractNumId w:val="16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3"/>
  </w:num>
  <w:num w:numId="23">
    <w:abstractNumId w:val="14"/>
    <w:lvlOverride w:ilvl="0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1"/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8"/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7"/>
  </w:num>
  <w:num w:numId="45">
    <w:abstractNumId w:val="12"/>
  </w:num>
  <w:num w:numId="46">
    <w:abstractNumId w:val="10"/>
  </w:num>
  <w:num w:numId="47">
    <w:abstractNumId w:val="14"/>
    <w:lvlOverride w:ilvl="0">
      <w:startOverride w:val="1"/>
    </w:lvlOverride>
  </w:num>
  <w:num w:numId="48">
    <w:abstractNumId w:val="19"/>
  </w:num>
  <w:num w:numId="49">
    <w:abstractNumId w:val="14"/>
    <w:lvlOverride w:ilvl="0">
      <w:startOverride w:val="1"/>
    </w:lvlOverride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D5"/>
    <w:rsid w:val="00003743"/>
    <w:rsid w:val="0000706D"/>
    <w:rsid w:val="00007E31"/>
    <w:rsid w:val="00023DBC"/>
    <w:rsid w:val="000244E7"/>
    <w:rsid w:val="000271F9"/>
    <w:rsid w:val="00032E63"/>
    <w:rsid w:val="00042D20"/>
    <w:rsid w:val="00056198"/>
    <w:rsid w:val="00060DD5"/>
    <w:rsid w:val="000619B0"/>
    <w:rsid w:val="00062A51"/>
    <w:rsid w:val="000634E6"/>
    <w:rsid w:val="00065FA3"/>
    <w:rsid w:val="000666F2"/>
    <w:rsid w:val="00067456"/>
    <w:rsid w:val="000678DC"/>
    <w:rsid w:val="00070348"/>
    <w:rsid w:val="000715CC"/>
    <w:rsid w:val="0007506B"/>
    <w:rsid w:val="000767A1"/>
    <w:rsid w:val="00076AAA"/>
    <w:rsid w:val="000A0A91"/>
    <w:rsid w:val="000A0DAC"/>
    <w:rsid w:val="000A4A29"/>
    <w:rsid w:val="000B1CA9"/>
    <w:rsid w:val="000B2FD8"/>
    <w:rsid w:val="000C6DE8"/>
    <w:rsid w:val="000C7BD5"/>
    <w:rsid w:val="000D0DDD"/>
    <w:rsid w:val="000D18B7"/>
    <w:rsid w:val="000D3D85"/>
    <w:rsid w:val="000D5A18"/>
    <w:rsid w:val="000D645C"/>
    <w:rsid w:val="000E3CDD"/>
    <w:rsid w:val="000E50EF"/>
    <w:rsid w:val="000E64E2"/>
    <w:rsid w:val="000E78AC"/>
    <w:rsid w:val="000F0ABC"/>
    <w:rsid w:val="000F336B"/>
    <w:rsid w:val="000F5A5D"/>
    <w:rsid w:val="001011DD"/>
    <w:rsid w:val="001038A5"/>
    <w:rsid w:val="00111FEB"/>
    <w:rsid w:val="00112F92"/>
    <w:rsid w:val="00124085"/>
    <w:rsid w:val="00125AE3"/>
    <w:rsid w:val="00135C0E"/>
    <w:rsid w:val="0013672D"/>
    <w:rsid w:val="00154D31"/>
    <w:rsid w:val="001612E8"/>
    <w:rsid w:val="00161BF6"/>
    <w:rsid w:val="001676FE"/>
    <w:rsid w:val="00172A45"/>
    <w:rsid w:val="00177493"/>
    <w:rsid w:val="00177885"/>
    <w:rsid w:val="001802F9"/>
    <w:rsid w:val="00193EA6"/>
    <w:rsid w:val="001A743A"/>
    <w:rsid w:val="001B3443"/>
    <w:rsid w:val="001B6E3C"/>
    <w:rsid w:val="001D68A7"/>
    <w:rsid w:val="001E6AC4"/>
    <w:rsid w:val="00200606"/>
    <w:rsid w:val="00206DAB"/>
    <w:rsid w:val="00206F0E"/>
    <w:rsid w:val="002071B0"/>
    <w:rsid w:val="00207750"/>
    <w:rsid w:val="00212C60"/>
    <w:rsid w:val="00225DDC"/>
    <w:rsid w:val="00227D6C"/>
    <w:rsid w:val="002307FB"/>
    <w:rsid w:val="002448D2"/>
    <w:rsid w:val="0025239C"/>
    <w:rsid w:val="00260179"/>
    <w:rsid w:val="00262159"/>
    <w:rsid w:val="002625CA"/>
    <w:rsid w:val="0026283E"/>
    <w:rsid w:val="00267D0D"/>
    <w:rsid w:val="0028721B"/>
    <w:rsid w:val="00297DA8"/>
    <w:rsid w:val="002A0515"/>
    <w:rsid w:val="002A5E1D"/>
    <w:rsid w:val="002A5E9A"/>
    <w:rsid w:val="002A76B7"/>
    <w:rsid w:val="002C11CD"/>
    <w:rsid w:val="002D64E8"/>
    <w:rsid w:val="002E4840"/>
    <w:rsid w:val="002F64EB"/>
    <w:rsid w:val="002F6A4D"/>
    <w:rsid w:val="0030786C"/>
    <w:rsid w:val="003113E0"/>
    <w:rsid w:val="00313943"/>
    <w:rsid w:val="0031503E"/>
    <w:rsid w:val="00315175"/>
    <w:rsid w:val="00316F6F"/>
    <w:rsid w:val="003212A9"/>
    <w:rsid w:val="00323524"/>
    <w:rsid w:val="00324988"/>
    <w:rsid w:val="003302F4"/>
    <w:rsid w:val="00337C50"/>
    <w:rsid w:val="00347BA6"/>
    <w:rsid w:val="00350952"/>
    <w:rsid w:val="003629FD"/>
    <w:rsid w:val="003728C8"/>
    <w:rsid w:val="003766F3"/>
    <w:rsid w:val="0039514F"/>
    <w:rsid w:val="0039608D"/>
    <w:rsid w:val="003A79FE"/>
    <w:rsid w:val="003B20D5"/>
    <w:rsid w:val="003C180F"/>
    <w:rsid w:val="003C1CDF"/>
    <w:rsid w:val="003C5800"/>
    <w:rsid w:val="003C69C3"/>
    <w:rsid w:val="003D17F9"/>
    <w:rsid w:val="003D3A1F"/>
    <w:rsid w:val="003E31A6"/>
    <w:rsid w:val="003E587E"/>
    <w:rsid w:val="003E7E36"/>
    <w:rsid w:val="003F26C8"/>
    <w:rsid w:val="003F7101"/>
    <w:rsid w:val="00407284"/>
    <w:rsid w:val="00415670"/>
    <w:rsid w:val="004161D7"/>
    <w:rsid w:val="0041771E"/>
    <w:rsid w:val="00425B56"/>
    <w:rsid w:val="004300D9"/>
    <w:rsid w:val="00437450"/>
    <w:rsid w:val="004422C1"/>
    <w:rsid w:val="00442ACA"/>
    <w:rsid w:val="00452A8F"/>
    <w:rsid w:val="00464A67"/>
    <w:rsid w:val="00464CBC"/>
    <w:rsid w:val="004711AF"/>
    <w:rsid w:val="00483DCA"/>
    <w:rsid w:val="00483FF0"/>
    <w:rsid w:val="004861E7"/>
    <w:rsid w:val="004867E2"/>
    <w:rsid w:val="0049218D"/>
    <w:rsid w:val="00496C90"/>
    <w:rsid w:val="004B0826"/>
    <w:rsid w:val="004B2CB3"/>
    <w:rsid w:val="004B3A4F"/>
    <w:rsid w:val="004B79F9"/>
    <w:rsid w:val="004D03B9"/>
    <w:rsid w:val="004D13A4"/>
    <w:rsid w:val="004D3A7D"/>
    <w:rsid w:val="004D440D"/>
    <w:rsid w:val="004E1BBF"/>
    <w:rsid w:val="00500793"/>
    <w:rsid w:val="00506030"/>
    <w:rsid w:val="005074A7"/>
    <w:rsid w:val="005078FB"/>
    <w:rsid w:val="005128F1"/>
    <w:rsid w:val="0051340D"/>
    <w:rsid w:val="00514C48"/>
    <w:rsid w:val="005217B6"/>
    <w:rsid w:val="00523EA0"/>
    <w:rsid w:val="005255F0"/>
    <w:rsid w:val="0053275F"/>
    <w:rsid w:val="00534749"/>
    <w:rsid w:val="0054762A"/>
    <w:rsid w:val="00547C32"/>
    <w:rsid w:val="00555537"/>
    <w:rsid w:val="00566AFD"/>
    <w:rsid w:val="00574585"/>
    <w:rsid w:val="00575317"/>
    <w:rsid w:val="00575857"/>
    <w:rsid w:val="0057671C"/>
    <w:rsid w:val="0058320B"/>
    <w:rsid w:val="0058423D"/>
    <w:rsid w:val="005945AE"/>
    <w:rsid w:val="00594A49"/>
    <w:rsid w:val="00595B96"/>
    <w:rsid w:val="005A2E61"/>
    <w:rsid w:val="005C1BE1"/>
    <w:rsid w:val="005C6315"/>
    <w:rsid w:val="005D14AE"/>
    <w:rsid w:val="005D5D34"/>
    <w:rsid w:val="005D621D"/>
    <w:rsid w:val="005D7D5E"/>
    <w:rsid w:val="005E2A94"/>
    <w:rsid w:val="005F0716"/>
    <w:rsid w:val="005F6A85"/>
    <w:rsid w:val="00607DF1"/>
    <w:rsid w:val="00611776"/>
    <w:rsid w:val="00616551"/>
    <w:rsid w:val="0062072E"/>
    <w:rsid w:val="00620E44"/>
    <w:rsid w:val="00623C6C"/>
    <w:rsid w:val="006367A4"/>
    <w:rsid w:val="006423BF"/>
    <w:rsid w:val="00645CC4"/>
    <w:rsid w:val="0064638A"/>
    <w:rsid w:val="00651AED"/>
    <w:rsid w:val="00656268"/>
    <w:rsid w:val="00665D42"/>
    <w:rsid w:val="0067432C"/>
    <w:rsid w:val="0068674B"/>
    <w:rsid w:val="006A5C23"/>
    <w:rsid w:val="006B06E0"/>
    <w:rsid w:val="006B06EA"/>
    <w:rsid w:val="006B416B"/>
    <w:rsid w:val="006C21BB"/>
    <w:rsid w:val="006C50FC"/>
    <w:rsid w:val="006D67C1"/>
    <w:rsid w:val="006E50C9"/>
    <w:rsid w:val="006F412B"/>
    <w:rsid w:val="0070418B"/>
    <w:rsid w:val="00705BE2"/>
    <w:rsid w:val="00705BE7"/>
    <w:rsid w:val="007111DC"/>
    <w:rsid w:val="0071328A"/>
    <w:rsid w:val="00714C61"/>
    <w:rsid w:val="007152C5"/>
    <w:rsid w:val="0072240C"/>
    <w:rsid w:val="00726E96"/>
    <w:rsid w:val="00730263"/>
    <w:rsid w:val="007431F2"/>
    <w:rsid w:val="00744B1C"/>
    <w:rsid w:val="00767E04"/>
    <w:rsid w:val="007709C2"/>
    <w:rsid w:val="00774AF2"/>
    <w:rsid w:val="00782911"/>
    <w:rsid w:val="00786372"/>
    <w:rsid w:val="00790983"/>
    <w:rsid w:val="00791622"/>
    <w:rsid w:val="00792542"/>
    <w:rsid w:val="00793165"/>
    <w:rsid w:val="007A7630"/>
    <w:rsid w:val="007B21B7"/>
    <w:rsid w:val="007B4C83"/>
    <w:rsid w:val="007C4D6B"/>
    <w:rsid w:val="007E0A95"/>
    <w:rsid w:val="007F26C3"/>
    <w:rsid w:val="007F44DF"/>
    <w:rsid w:val="007F6326"/>
    <w:rsid w:val="00805364"/>
    <w:rsid w:val="008124D5"/>
    <w:rsid w:val="00817D08"/>
    <w:rsid w:val="008201F9"/>
    <w:rsid w:val="008211F6"/>
    <w:rsid w:val="008215DE"/>
    <w:rsid w:val="008226D3"/>
    <w:rsid w:val="008227CE"/>
    <w:rsid w:val="008251C5"/>
    <w:rsid w:val="008264EB"/>
    <w:rsid w:val="00831425"/>
    <w:rsid w:val="00836700"/>
    <w:rsid w:val="00836BC1"/>
    <w:rsid w:val="008421ED"/>
    <w:rsid w:val="00844CA1"/>
    <w:rsid w:val="0085020C"/>
    <w:rsid w:val="0085252E"/>
    <w:rsid w:val="00853C23"/>
    <w:rsid w:val="00855A1C"/>
    <w:rsid w:val="0086094A"/>
    <w:rsid w:val="00860D75"/>
    <w:rsid w:val="008668B4"/>
    <w:rsid w:val="00867F5E"/>
    <w:rsid w:val="00870FC6"/>
    <w:rsid w:val="00871C17"/>
    <w:rsid w:val="00875034"/>
    <w:rsid w:val="0088050B"/>
    <w:rsid w:val="00892491"/>
    <w:rsid w:val="0089373C"/>
    <w:rsid w:val="008A2628"/>
    <w:rsid w:val="008B186D"/>
    <w:rsid w:val="008C0743"/>
    <w:rsid w:val="008C622F"/>
    <w:rsid w:val="008C6729"/>
    <w:rsid w:val="008D22B5"/>
    <w:rsid w:val="008D5CEF"/>
    <w:rsid w:val="008E0236"/>
    <w:rsid w:val="008E03F3"/>
    <w:rsid w:val="008E22C7"/>
    <w:rsid w:val="008E29AB"/>
    <w:rsid w:val="008E438C"/>
    <w:rsid w:val="008E4E68"/>
    <w:rsid w:val="008E66D6"/>
    <w:rsid w:val="008F0161"/>
    <w:rsid w:val="008F23A3"/>
    <w:rsid w:val="008F5D8E"/>
    <w:rsid w:val="008F7696"/>
    <w:rsid w:val="0090004A"/>
    <w:rsid w:val="00913538"/>
    <w:rsid w:val="00923767"/>
    <w:rsid w:val="009250AB"/>
    <w:rsid w:val="00930EA8"/>
    <w:rsid w:val="009331AA"/>
    <w:rsid w:val="00933FC6"/>
    <w:rsid w:val="00935420"/>
    <w:rsid w:val="009354A4"/>
    <w:rsid w:val="00935AE6"/>
    <w:rsid w:val="009372B0"/>
    <w:rsid w:val="00942E04"/>
    <w:rsid w:val="00943B48"/>
    <w:rsid w:val="00947DFA"/>
    <w:rsid w:val="0095052A"/>
    <w:rsid w:val="00965C1C"/>
    <w:rsid w:val="00974C00"/>
    <w:rsid w:val="00980002"/>
    <w:rsid w:val="00985787"/>
    <w:rsid w:val="0099091C"/>
    <w:rsid w:val="00990CC5"/>
    <w:rsid w:val="009922B0"/>
    <w:rsid w:val="00996E93"/>
    <w:rsid w:val="009A0B49"/>
    <w:rsid w:val="009A7E8F"/>
    <w:rsid w:val="009B1758"/>
    <w:rsid w:val="009B315C"/>
    <w:rsid w:val="009B3E82"/>
    <w:rsid w:val="009B654D"/>
    <w:rsid w:val="009B6F9D"/>
    <w:rsid w:val="009C30B9"/>
    <w:rsid w:val="009C5A98"/>
    <w:rsid w:val="009C621E"/>
    <w:rsid w:val="009C736E"/>
    <w:rsid w:val="009C7B7B"/>
    <w:rsid w:val="009C7C29"/>
    <w:rsid w:val="009E1547"/>
    <w:rsid w:val="009E1830"/>
    <w:rsid w:val="009E78A9"/>
    <w:rsid w:val="009F2903"/>
    <w:rsid w:val="00A131CC"/>
    <w:rsid w:val="00A14609"/>
    <w:rsid w:val="00A16A98"/>
    <w:rsid w:val="00A16F38"/>
    <w:rsid w:val="00A2778B"/>
    <w:rsid w:val="00A33F1C"/>
    <w:rsid w:val="00A42EDC"/>
    <w:rsid w:val="00A4375C"/>
    <w:rsid w:val="00A4512D"/>
    <w:rsid w:val="00A45C02"/>
    <w:rsid w:val="00A538E3"/>
    <w:rsid w:val="00A6070D"/>
    <w:rsid w:val="00A61A22"/>
    <w:rsid w:val="00A6280B"/>
    <w:rsid w:val="00A65FE3"/>
    <w:rsid w:val="00A66D4F"/>
    <w:rsid w:val="00A705AF"/>
    <w:rsid w:val="00A81C19"/>
    <w:rsid w:val="00A81F8C"/>
    <w:rsid w:val="00AA2461"/>
    <w:rsid w:val="00AA255A"/>
    <w:rsid w:val="00AD1CD6"/>
    <w:rsid w:val="00AE57CC"/>
    <w:rsid w:val="00AE6179"/>
    <w:rsid w:val="00AE7704"/>
    <w:rsid w:val="00AF798B"/>
    <w:rsid w:val="00B0593C"/>
    <w:rsid w:val="00B12E50"/>
    <w:rsid w:val="00B13265"/>
    <w:rsid w:val="00B2340A"/>
    <w:rsid w:val="00B300D2"/>
    <w:rsid w:val="00B42851"/>
    <w:rsid w:val="00B5033F"/>
    <w:rsid w:val="00B503F5"/>
    <w:rsid w:val="00B51547"/>
    <w:rsid w:val="00B557CD"/>
    <w:rsid w:val="00B65D3C"/>
    <w:rsid w:val="00B6762C"/>
    <w:rsid w:val="00B812D1"/>
    <w:rsid w:val="00B82F72"/>
    <w:rsid w:val="00B854C4"/>
    <w:rsid w:val="00B9238F"/>
    <w:rsid w:val="00B93E0E"/>
    <w:rsid w:val="00B97FAF"/>
    <w:rsid w:val="00BB53A9"/>
    <w:rsid w:val="00BC1113"/>
    <w:rsid w:val="00BD0242"/>
    <w:rsid w:val="00BD02F6"/>
    <w:rsid w:val="00BD0BB6"/>
    <w:rsid w:val="00BD6A86"/>
    <w:rsid w:val="00BD7057"/>
    <w:rsid w:val="00BD7AEC"/>
    <w:rsid w:val="00BE004C"/>
    <w:rsid w:val="00BF7C92"/>
    <w:rsid w:val="00C06B39"/>
    <w:rsid w:val="00C22830"/>
    <w:rsid w:val="00C3605B"/>
    <w:rsid w:val="00C41EB4"/>
    <w:rsid w:val="00C4364F"/>
    <w:rsid w:val="00C43FFA"/>
    <w:rsid w:val="00C45684"/>
    <w:rsid w:val="00C53331"/>
    <w:rsid w:val="00C56035"/>
    <w:rsid w:val="00C56719"/>
    <w:rsid w:val="00C613AC"/>
    <w:rsid w:val="00C639E2"/>
    <w:rsid w:val="00C671AD"/>
    <w:rsid w:val="00C7183D"/>
    <w:rsid w:val="00C84175"/>
    <w:rsid w:val="00C85A1C"/>
    <w:rsid w:val="00C939B0"/>
    <w:rsid w:val="00C950CF"/>
    <w:rsid w:val="00C9663F"/>
    <w:rsid w:val="00CB0066"/>
    <w:rsid w:val="00CB16B4"/>
    <w:rsid w:val="00CB3649"/>
    <w:rsid w:val="00CB5B1A"/>
    <w:rsid w:val="00CC36A3"/>
    <w:rsid w:val="00CC48E9"/>
    <w:rsid w:val="00CC5A97"/>
    <w:rsid w:val="00CD37D4"/>
    <w:rsid w:val="00CE02E1"/>
    <w:rsid w:val="00CE587C"/>
    <w:rsid w:val="00CF1B39"/>
    <w:rsid w:val="00CF536F"/>
    <w:rsid w:val="00D12C3E"/>
    <w:rsid w:val="00D14831"/>
    <w:rsid w:val="00D1486E"/>
    <w:rsid w:val="00D17CF0"/>
    <w:rsid w:val="00D2791E"/>
    <w:rsid w:val="00D32FC2"/>
    <w:rsid w:val="00D45564"/>
    <w:rsid w:val="00D4694B"/>
    <w:rsid w:val="00D53109"/>
    <w:rsid w:val="00D562A7"/>
    <w:rsid w:val="00D63938"/>
    <w:rsid w:val="00D64003"/>
    <w:rsid w:val="00D66381"/>
    <w:rsid w:val="00D7021A"/>
    <w:rsid w:val="00D74A7C"/>
    <w:rsid w:val="00D773CB"/>
    <w:rsid w:val="00D77A10"/>
    <w:rsid w:val="00D813C7"/>
    <w:rsid w:val="00D84555"/>
    <w:rsid w:val="00D90D93"/>
    <w:rsid w:val="00D9126E"/>
    <w:rsid w:val="00D931B3"/>
    <w:rsid w:val="00D9734C"/>
    <w:rsid w:val="00DA205D"/>
    <w:rsid w:val="00DA5640"/>
    <w:rsid w:val="00DB4B19"/>
    <w:rsid w:val="00DB636E"/>
    <w:rsid w:val="00DC0F12"/>
    <w:rsid w:val="00DC70BE"/>
    <w:rsid w:val="00DD201E"/>
    <w:rsid w:val="00DD3824"/>
    <w:rsid w:val="00DE62F4"/>
    <w:rsid w:val="00DE6C39"/>
    <w:rsid w:val="00DE7AD0"/>
    <w:rsid w:val="00DE7E53"/>
    <w:rsid w:val="00DF189B"/>
    <w:rsid w:val="00DF201E"/>
    <w:rsid w:val="00DF25B4"/>
    <w:rsid w:val="00DF6B0E"/>
    <w:rsid w:val="00E018DF"/>
    <w:rsid w:val="00E03212"/>
    <w:rsid w:val="00E05B52"/>
    <w:rsid w:val="00E07063"/>
    <w:rsid w:val="00E1165B"/>
    <w:rsid w:val="00E14745"/>
    <w:rsid w:val="00E15715"/>
    <w:rsid w:val="00E242FA"/>
    <w:rsid w:val="00E2569B"/>
    <w:rsid w:val="00E33943"/>
    <w:rsid w:val="00E35270"/>
    <w:rsid w:val="00E408F6"/>
    <w:rsid w:val="00E43469"/>
    <w:rsid w:val="00E50AE0"/>
    <w:rsid w:val="00E54022"/>
    <w:rsid w:val="00E60508"/>
    <w:rsid w:val="00E6222D"/>
    <w:rsid w:val="00E66091"/>
    <w:rsid w:val="00E67CB0"/>
    <w:rsid w:val="00E71FE9"/>
    <w:rsid w:val="00E720C4"/>
    <w:rsid w:val="00E91BDA"/>
    <w:rsid w:val="00EA6AF8"/>
    <w:rsid w:val="00EB2915"/>
    <w:rsid w:val="00EB66DF"/>
    <w:rsid w:val="00EB6A7A"/>
    <w:rsid w:val="00EC1A78"/>
    <w:rsid w:val="00EC31BE"/>
    <w:rsid w:val="00ED02CB"/>
    <w:rsid w:val="00ED6E72"/>
    <w:rsid w:val="00EF4687"/>
    <w:rsid w:val="00EF4EA0"/>
    <w:rsid w:val="00F0011F"/>
    <w:rsid w:val="00F14525"/>
    <w:rsid w:val="00F27A41"/>
    <w:rsid w:val="00F3759F"/>
    <w:rsid w:val="00F428A6"/>
    <w:rsid w:val="00F44A6C"/>
    <w:rsid w:val="00F504E0"/>
    <w:rsid w:val="00F526C5"/>
    <w:rsid w:val="00F52C4C"/>
    <w:rsid w:val="00F6553F"/>
    <w:rsid w:val="00F72408"/>
    <w:rsid w:val="00F735B2"/>
    <w:rsid w:val="00F80E26"/>
    <w:rsid w:val="00F87091"/>
    <w:rsid w:val="00F9468E"/>
    <w:rsid w:val="00FA4CEC"/>
    <w:rsid w:val="00FA6209"/>
    <w:rsid w:val="00FA7C35"/>
    <w:rsid w:val="00FB0B15"/>
    <w:rsid w:val="00FB4582"/>
    <w:rsid w:val="00FB4EC1"/>
    <w:rsid w:val="00FC23D6"/>
    <w:rsid w:val="00FC6988"/>
    <w:rsid w:val="00FC7AD2"/>
    <w:rsid w:val="00FE56E8"/>
    <w:rsid w:val="00FE618C"/>
    <w:rsid w:val="00FE7ED4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764EA"/>
  <w15:docId w15:val="{6821021A-C1C4-40F7-B80E-DE51D2E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4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paragraph" w:styleId="BodyText">
    <w:name w:val="Body Text"/>
    <w:basedOn w:val="Normal"/>
    <w:link w:val="BodyTextChar"/>
    <w:rsid w:val="00E6222D"/>
    <w:pPr>
      <w:tabs>
        <w:tab w:val="left" w:pos="397"/>
        <w:tab w:val="left" w:pos="794"/>
        <w:tab w:val="left" w:pos="1191"/>
      </w:tabs>
      <w:spacing w:before="6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222D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nhideWhenUsed/>
    <w:rsid w:val="006C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9C33-DD9C-4F5C-8950-55C76CAB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QLIK StakeholdernKPI Indigenous Health Dashboard</vt:lpstr>
    </vt:vector>
  </TitlesOfParts>
  <Company>Department of Immigration and Border Protection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QLIK StakeholdernKPI Indigenous Health Dashboard</dc:title>
  <dc:creator>Joel Dennerley</dc:creator>
  <cp:lastModifiedBy>DUNN, Stuart</cp:lastModifiedBy>
  <cp:revision>11</cp:revision>
  <dcterms:created xsi:type="dcterms:W3CDTF">2023-04-17T22:09:00Z</dcterms:created>
  <dcterms:modified xsi:type="dcterms:W3CDTF">2023-04-18T03:28:00Z</dcterms:modified>
</cp:coreProperties>
</file>