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4859" w14:textId="77777777" w:rsidR="00D14831" w:rsidRPr="00F735B2" w:rsidRDefault="00AF2D49" w:rsidP="00F735B2">
      <w:pPr>
        <w:pStyle w:val="QRGText"/>
        <w:sectPr w:rsidR="00D14831" w:rsidRPr="00F735B2" w:rsidSect="008467EB">
          <w:headerReference w:type="default" r:id="rId7"/>
          <w:footerReference w:type="default" r:id="rId8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A9BFC" wp14:editId="610F1A8A">
                <wp:simplePos x="0" y="0"/>
                <wp:positionH relativeFrom="column">
                  <wp:posOffset>2733675</wp:posOffset>
                </wp:positionH>
                <wp:positionV relativeFrom="paragraph">
                  <wp:posOffset>-704850</wp:posOffset>
                </wp:positionV>
                <wp:extent cx="4147185" cy="520065"/>
                <wp:effectExtent l="0" t="0" r="0" b="1905"/>
                <wp:wrapNone/>
                <wp:docPr id="5" name="Text Box 5" descr="Health Data Portal Glossary of Term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3B08B" w14:textId="77777777" w:rsidR="00AF2D49" w:rsidRPr="006D75D0" w:rsidRDefault="00AF2D49" w:rsidP="00AF2D4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D75D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Health Data Portal Glossary of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0A9B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Health Data Portal Glossary of Terms" style="position:absolute;margin-left:215.25pt;margin-top:-55.5pt;width:326.55pt;height:4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" filled="f" stroked="f">
                <v:textbox style="mso-fit-shape-to-text:t">
                  <w:txbxContent>
                    <w:p w14:paraId="3C73B08B" w14:textId="77777777" w:rsidR="00AF2D49" w:rsidRPr="006D75D0" w:rsidRDefault="00AF2D49" w:rsidP="00AF2D4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D75D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Health Data Portal Glossary of Terms</w:t>
                      </w:r>
                    </w:p>
                  </w:txbxContent>
                </v:textbox>
              </v:shape>
            </w:pict>
          </mc:Fallback>
        </mc:AlternateContent>
      </w:r>
    </w:p>
    <w:p w14:paraId="527335EE" w14:textId="7A13F6C4" w:rsidR="00FB4582" w:rsidRDefault="00060F30" w:rsidP="004B59EB">
      <w:pPr>
        <w:pStyle w:val="QRGText"/>
      </w:pPr>
      <w:r>
        <w:br/>
      </w:r>
      <w:r w:rsidR="00F20ED1">
        <w:t xml:space="preserve">There are many different terms within the Health Data Portal that are particular to the </w:t>
      </w:r>
      <w:r w:rsidR="00EE1209">
        <w:t xml:space="preserve">Data </w:t>
      </w:r>
      <w:r w:rsidR="00F20ED1">
        <w:t>Portal and</w:t>
      </w:r>
      <w:r w:rsidR="00C97B7A">
        <w:t>,</w:t>
      </w:r>
      <w:r w:rsidR="00F20ED1">
        <w:t xml:space="preserve"> therefore, users may not have previously</w:t>
      </w:r>
      <w:r w:rsidR="00C97B7A">
        <w:t xml:space="preserve"> encountered. </w:t>
      </w:r>
      <w:r w:rsidR="00813CB2">
        <w:t>The</w:t>
      </w:r>
      <w:r w:rsidR="00F20ED1">
        <w:t xml:space="preserve"> table below identifies </w:t>
      </w:r>
      <w:r w:rsidR="004929AF">
        <w:t xml:space="preserve">some of </w:t>
      </w:r>
      <w:r w:rsidR="00F20ED1">
        <w:t>these terms along with a description of what they mean</w:t>
      </w:r>
      <w:r w:rsidR="00C97B7A">
        <w:t>,</w:t>
      </w:r>
      <w:r w:rsidR="00F20ED1">
        <w:t xml:space="preserve"> to assist users in their overall understanding of the </w:t>
      </w:r>
      <w:r w:rsidR="00EE1209">
        <w:t xml:space="preserve">Data </w:t>
      </w:r>
      <w:r w:rsidR="00F20ED1">
        <w:t>Portal and how to use it for their requirements.</w:t>
      </w:r>
    </w:p>
    <w:p w14:paraId="28E8BCC3" w14:textId="77777777" w:rsidR="008672BE" w:rsidRDefault="008672BE" w:rsidP="004B59EB">
      <w:pPr>
        <w:pStyle w:val="QRGText"/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  <w:tblDescription w:val="Table describing the key Health Portal terms users of the Portal need to understand. The first column lists the term while the second column describes each of the terms."/>
      </w:tblPr>
      <w:tblGrid>
        <w:gridCol w:w="2268"/>
        <w:gridCol w:w="8222"/>
      </w:tblGrid>
      <w:tr w:rsidR="008467EB" w:rsidRPr="006B7216" w14:paraId="3F5886FD" w14:textId="77777777" w:rsidTr="00864E8C">
        <w:trPr>
          <w:tblHeader/>
        </w:trPr>
        <w:tc>
          <w:tcPr>
            <w:tcW w:w="2268" w:type="dxa"/>
            <w:shd w:val="clear" w:color="auto" w:fill="00B0F0"/>
          </w:tcPr>
          <w:p w14:paraId="039E3B64" w14:textId="77777777" w:rsidR="008467EB" w:rsidRPr="00AF2D49" w:rsidRDefault="00F20ED1" w:rsidP="00B02CC8">
            <w:pPr>
              <w:pStyle w:val="QRGTableHeading"/>
              <w:rPr>
                <w:color w:val="FFFFFF" w:themeColor="background1"/>
              </w:rPr>
            </w:pPr>
            <w:r w:rsidRPr="00AF2D49">
              <w:rPr>
                <w:color w:val="FFFFFF" w:themeColor="background1"/>
              </w:rPr>
              <w:t>Term</w:t>
            </w:r>
          </w:p>
        </w:tc>
        <w:tc>
          <w:tcPr>
            <w:tcW w:w="8222" w:type="dxa"/>
            <w:shd w:val="clear" w:color="auto" w:fill="00B0F0"/>
          </w:tcPr>
          <w:p w14:paraId="685927CB" w14:textId="77777777" w:rsidR="008467EB" w:rsidRPr="00AF2D49" w:rsidRDefault="008467EB" w:rsidP="00F20ED1">
            <w:pPr>
              <w:pStyle w:val="QRGTableHeading"/>
              <w:tabs>
                <w:tab w:val="left" w:pos="2635"/>
                <w:tab w:val="center" w:pos="4608"/>
              </w:tabs>
              <w:rPr>
                <w:color w:val="FFFFFF" w:themeColor="background1"/>
              </w:rPr>
            </w:pPr>
            <w:r w:rsidRPr="00AF2D49">
              <w:rPr>
                <w:color w:val="FFFFFF" w:themeColor="background1"/>
              </w:rPr>
              <w:t>Description</w:t>
            </w:r>
          </w:p>
        </w:tc>
      </w:tr>
      <w:tr w:rsidR="008467EB" w:rsidRPr="008467EB" w14:paraId="18701E7E" w14:textId="77777777" w:rsidTr="00864E8C">
        <w:tc>
          <w:tcPr>
            <w:tcW w:w="2268" w:type="dxa"/>
          </w:tcPr>
          <w:p w14:paraId="423F757F" w14:textId="77777777" w:rsidR="008467EB" w:rsidRPr="008467EB" w:rsidRDefault="00F20ED1" w:rsidP="008467EB">
            <w:pPr>
              <w:pStyle w:val="QRGTableTextLeft"/>
              <w:rPr>
                <w:sz w:val="20"/>
                <w:szCs w:val="20"/>
              </w:rPr>
            </w:pPr>
            <w:r>
              <w:t>Data Asset</w:t>
            </w:r>
          </w:p>
        </w:tc>
        <w:tc>
          <w:tcPr>
            <w:tcW w:w="8222" w:type="dxa"/>
          </w:tcPr>
          <w:p w14:paraId="178B5DF5" w14:textId="77777777" w:rsidR="00F20ED1" w:rsidRDefault="00F20ED1" w:rsidP="00F20ED1">
            <w:pPr>
              <w:pStyle w:val="QRGTableTextLeft"/>
            </w:pPr>
            <w:r>
              <w:t>The file</w:t>
            </w:r>
            <w:r w:rsidR="00D43A67">
              <w:t>/document/report</w:t>
            </w:r>
            <w:r>
              <w:t xml:space="preserve"> being submitted and </w:t>
            </w:r>
            <w:r w:rsidR="00227510">
              <w:t xml:space="preserve">its </w:t>
            </w:r>
            <w:r>
              <w:t>associated information</w:t>
            </w:r>
            <w:r w:rsidR="00C427E6">
              <w:t>,</w:t>
            </w:r>
            <w:r>
              <w:t xml:space="preserve"> such as who is submitting the </w:t>
            </w:r>
            <w:r w:rsidR="00D43A67">
              <w:t>document</w:t>
            </w:r>
            <w:r>
              <w:t xml:space="preserve"> and for what period</w:t>
            </w:r>
            <w:r w:rsidRPr="00F20ED1">
              <w:t xml:space="preserve">. </w:t>
            </w:r>
          </w:p>
          <w:p w14:paraId="58A04B28" w14:textId="77777777" w:rsidR="008467EB" w:rsidRPr="008467EB" w:rsidRDefault="00C97B7A" w:rsidP="00EE1209">
            <w:pPr>
              <w:pStyle w:val="QRGTableTextLeft"/>
              <w:rPr>
                <w:sz w:val="20"/>
                <w:szCs w:val="20"/>
              </w:rPr>
            </w:pPr>
            <w:r>
              <w:t>Data a</w:t>
            </w:r>
            <w:r w:rsidR="00F20ED1">
              <w:t>sset</w:t>
            </w:r>
            <w:r w:rsidR="00F20ED1" w:rsidRPr="00F20ED1">
              <w:t xml:space="preserve"> is a generic term used by the Data Portal for all data stored in the </w:t>
            </w:r>
            <w:r w:rsidR="00EE1209">
              <w:t xml:space="preserve">Data </w:t>
            </w:r>
            <w:r w:rsidR="00F20ED1" w:rsidRPr="00F20ED1">
              <w:t xml:space="preserve">Portal. </w:t>
            </w:r>
          </w:p>
        </w:tc>
      </w:tr>
      <w:tr w:rsidR="008467EB" w:rsidRPr="008467EB" w14:paraId="264E8863" w14:textId="77777777" w:rsidTr="00864E8C">
        <w:tc>
          <w:tcPr>
            <w:tcW w:w="2268" w:type="dxa"/>
          </w:tcPr>
          <w:p w14:paraId="204E7CE6" w14:textId="77777777" w:rsidR="008467EB" w:rsidRPr="008467EB" w:rsidRDefault="00F20ED1" w:rsidP="00B02CC8">
            <w:pPr>
              <w:pStyle w:val="QRGTableTextLeft"/>
              <w:rPr>
                <w:sz w:val="20"/>
                <w:szCs w:val="20"/>
              </w:rPr>
            </w:pPr>
            <w:r>
              <w:t>Data Period</w:t>
            </w:r>
          </w:p>
        </w:tc>
        <w:tc>
          <w:tcPr>
            <w:tcW w:w="8222" w:type="dxa"/>
          </w:tcPr>
          <w:p w14:paraId="7E1A5513" w14:textId="73E7A5A3" w:rsidR="008467EB" w:rsidRDefault="00F20ED1" w:rsidP="00C97B7A">
            <w:pPr>
              <w:pStyle w:val="QRGTableTextLeft"/>
            </w:pPr>
            <w:r>
              <w:t>The period that is being reported on</w:t>
            </w:r>
            <w:r w:rsidR="00C97B7A">
              <w:t>, where applicable</w:t>
            </w:r>
            <w:r>
              <w:t xml:space="preserve">. </w:t>
            </w:r>
            <w:r w:rsidR="00C97B7A">
              <w:t>When relevant, a</w:t>
            </w:r>
            <w:r>
              <w:t xml:space="preserve">ll the data in </w:t>
            </w:r>
            <w:r w:rsidR="00C97B7A">
              <w:t>the</w:t>
            </w:r>
            <w:r>
              <w:t xml:space="preserve"> data asset will relate to a particular </w:t>
            </w:r>
            <w:r w:rsidR="00813CB2">
              <w:t>period</w:t>
            </w:r>
            <w:r>
              <w:t>.</w:t>
            </w:r>
          </w:p>
          <w:p w14:paraId="533EABB8" w14:textId="77777777" w:rsidR="00C97B7A" w:rsidRPr="00BC6619" w:rsidRDefault="00C97B7A" w:rsidP="00C427E6">
            <w:pPr>
              <w:pStyle w:val="QRGTableTextLeft"/>
              <w:rPr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B7A140D" wp14:editId="355FEA20">
                  <wp:extent cx="252000" cy="252000"/>
                  <wp:effectExtent l="0" t="0" r="0" b="0"/>
                  <wp:docPr id="2" name="Picture 2" title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MKeyS_icon_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The term </w:t>
            </w:r>
            <w:r w:rsidR="00D43A67">
              <w:t>data p</w:t>
            </w:r>
            <w:r>
              <w:t xml:space="preserve">eriod is only </w:t>
            </w:r>
            <w:r w:rsidR="004929AF">
              <w:t>applicable</w:t>
            </w:r>
            <w:r w:rsidR="00C427E6">
              <w:t xml:space="preserve"> for certain uses of</w:t>
            </w:r>
            <w:r>
              <w:t xml:space="preserve"> the </w:t>
            </w:r>
            <w:r w:rsidR="00EE1209">
              <w:t xml:space="preserve">Data </w:t>
            </w:r>
            <w:r>
              <w:t>Portal.</w:t>
            </w:r>
          </w:p>
        </w:tc>
      </w:tr>
      <w:tr w:rsidR="008467EB" w:rsidRPr="008467EB" w14:paraId="1262BD56" w14:textId="77777777" w:rsidTr="00864E8C">
        <w:tc>
          <w:tcPr>
            <w:tcW w:w="2268" w:type="dxa"/>
          </w:tcPr>
          <w:p w14:paraId="2DD30FF0" w14:textId="77777777" w:rsidR="008467EB" w:rsidRPr="008467EB" w:rsidRDefault="00F20ED1" w:rsidP="00B02CC8">
            <w:pPr>
              <w:pStyle w:val="QRGTableTextLeft"/>
              <w:rPr>
                <w:sz w:val="20"/>
                <w:szCs w:val="20"/>
              </w:rPr>
            </w:pPr>
            <w:r>
              <w:t>B2G</w:t>
            </w:r>
          </w:p>
        </w:tc>
        <w:tc>
          <w:tcPr>
            <w:tcW w:w="8222" w:type="dxa"/>
          </w:tcPr>
          <w:p w14:paraId="15173917" w14:textId="77777777" w:rsidR="00C97B7A" w:rsidRDefault="00F20ED1" w:rsidP="00C97B7A">
            <w:pPr>
              <w:pStyle w:val="QRGTableTextLeft"/>
            </w:pPr>
            <w:r>
              <w:t xml:space="preserve">Business to Government. This term describes a data asset that has been uploaded </w:t>
            </w:r>
            <w:r w:rsidR="006962C7">
              <w:t xml:space="preserve">to the </w:t>
            </w:r>
            <w:r w:rsidR="00EE1209">
              <w:t xml:space="preserve">Data </w:t>
            </w:r>
            <w:r w:rsidR="006962C7">
              <w:t>Portal automatically from another system through a direct data load.</w:t>
            </w:r>
            <w:r w:rsidR="00C97B7A">
              <w:t xml:space="preserve"> </w:t>
            </w:r>
          </w:p>
          <w:p w14:paraId="36F5E519" w14:textId="77777777" w:rsidR="008467EB" w:rsidRPr="008467EB" w:rsidRDefault="00C97B7A" w:rsidP="00C427E6">
            <w:pPr>
              <w:pStyle w:val="QRGTableTextLeft"/>
              <w:rPr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BA59854" wp14:editId="5AD1AC06">
                  <wp:extent cx="252000" cy="252000"/>
                  <wp:effectExtent l="0" t="0" r="0" b="0"/>
                  <wp:docPr id="4" name="Picture 4" title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MKeyS_icon_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The term B2G is only relevant for certain </w:t>
            </w:r>
            <w:r w:rsidR="00C427E6">
              <w:t>uses of</w:t>
            </w:r>
            <w:r>
              <w:t xml:space="preserve"> the </w:t>
            </w:r>
            <w:r w:rsidR="00EE1209">
              <w:t xml:space="preserve">Data </w:t>
            </w:r>
            <w:r>
              <w:t>Portal.</w:t>
            </w:r>
          </w:p>
        </w:tc>
      </w:tr>
      <w:tr w:rsidR="008467EB" w:rsidRPr="008467EB" w14:paraId="5C2EA63F" w14:textId="77777777" w:rsidTr="00864E8C">
        <w:tc>
          <w:tcPr>
            <w:tcW w:w="2268" w:type="dxa"/>
          </w:tcPr>
          <w:p w14:paraId="71064A21" w14:textId="77777777" w:rsidR="008467EB" w:rsidRPr="008467EB" w:rsidRDefault="00EA0FE9" w:rsidP="00B02CC8">
            <w:pPr>
              <w:pStyle w:val="QRGTableTextLeft"/>
              <w:rPr>
                <w:sz w:val="20"/>
                <w:szCs w:val="20"/>
              </w:rPr>
            </w:pPr>
            <w:r>
              <w:t>Reporting Round</w:t>
            </w:r>
          </w:p>
        </w:tc>
        <w:tc>
          <w:tcPr>
            <w:tcW w:w="8222" w:type="dxa"/>
          </w:tcPr>
          <w:p w14:paraId="1956D58B" w14:textId="77777777" w:rsidR="00C97B7A" w:rsidRDefault="00EA0FE9" w:rsidP="00783F0B">
            <w:pPr>
              <w:pStyle w:val="QRGTableTextLeft"/>
            </w:pPr>
            <w:r>
              <w:t xml:space="preserve">A scheduled event that triggers the submission of data by </w:t>
            </w:r>
            <w:r w:rsidR="00282A95">
              <w:t>external organisations</w:t>
            </w:r>
            <w:r>
              <w:t xml:space="preserve"> through the </w:t>
            </w:r>
            <w:r w:rsidR="00EE1209">
              <w:t xml:space="preserve">Data </w:t>
            </w:r>
            <w:r>
              <w:t>Portal.</w:t>
            </w:r>
            <w:r w:rsidR="00D46B40">
              <w:t xml:space="preserve"> </w:t>
            </w:r>
          </w:p>
          <w:p w14:paraId="334AEB39" w14:textId="77777777" w:rsidR="008467EB" w:rsidRPr="008467EB" w:rsidRDefault="00C97B7A" w:rsidP="00783F0B">
            <w:pPr>
              <w:pStyle w:val="QRGTableTextLeft"/>
              <w:rPr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8C15665" wp14:editId="6C1C2FF7">
                  <wp:extent cx="252000" cy="252000"/>
                  <wp:effectExtent l="0" t="0" r="0" b="0"/>
                  <wp:docPr id="6" name="Picture 6" title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MKeyS_icon_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D46B40">
              <w:t xml:space="preserve">Reporting Rounds are only </w:t>
            </w:r>
            <w:r w:rsidR="00C427E6">
              <w:t xml:space="preserve">relevant for certain uses of the </w:t>
            </w:r>
            <w:r w:rsidR="00EE1209">
              <w:t xml:space="preserve">Data </w:t>
            </w:r>
            <w:r w:rsidR="00C427E6">
              <w:t>Portal.</w:t>
            </w:r>
          </w:p>
        </w:tc>
      </w:tr>
      <w:tr w:rsidR="005A4E6B" w:rsidRPr="008467EB" w14:paraId="5EB1EE0D" w14:textId="77777777" w:rsidTr="00864E8C">
        <w:tc>
          <w:tcPr>
            <w:tcW w:w="2268" w:type="dxa"/>
          </w:tcPr>
          <w:p w14:paraId="04ACB61A" w14:textId="77777777" w:rsidR="005A4E6B" w:rsidRPr="008467EB" w:rsidRDefault="00EA0FE9" w:rsidP="00F94123">
            <w:pPr>
              <w:pStyle w:val="QRGTableTextLeft"/>
              <w:rPr>
                <w:sz w:val="20"/>
                <w:szCs w:val="20"/>
              </w:rPr>
            </w:pPr>
            <w:r>
              <w:t>Organisation</w:t>
            </w:r>
          </w:p>
        </w:tc>
        <w:tc>
          <w:tcPr>
            <w:tcW w:w="8222" w:type="dxa"/>
          </w:tcPr>
          <w:p w14:paraId="70D2B68B" w14:textId="77777777" w:rsidR="005A4E6B" w:rsidRPr="008467EB" w:rsidRDefault="00EA0FE9" w:rsidP="00F94123">
            <w:pPr>
              <w:pStyle w:val="QRGTableTextLeft"/>
              <w:rPr>
                <w:sz w:val="20"/>
                <w:szCs w:val="20"/>
              </w:rPr>
            </w:pPr>
            <w:r>
              <w:t>The</w:t>
            </w:r>
            <w:r w:rsidRPr="00EA0FE9">
              <w:t xml:space="preserve"> </w:t>
            </w:r>
            <w:r w:rsidR="00526C9E">
              <w:t xml:space="preserve">Data </w:t>
            </w:r>
            <w:r w:rsidRPr="00EA0FE9">
              <w:t xml:space="preserve">Portal term used to describe organisations with users in the </w:t>
            </w:r>
            <w:r w:rsidR="00EE1209">
              <w:t xml:space="preserve">Data </w:t>
            </w:r>
            <w:r w:rsidRPr="00EA0FE9">
              <w:t>Portal.</w:t>
            </w:r>
            <w:r w:rsidR="009C607C">
              <w:t xml:space="preserve"> It can be any entity with an ABN. </w:t>
            </w:r>
          </w:p>
        </w:tc>
      </w:tr>
      <w:tr w:rsidR="005A4E6B" w:rsidRPr="008467EB" w14:paraId="4496CE6A" w14:textId="77777777" w:rsidTr="00864E8C">
        <w:tc>
          <w:tcPr>
            <w:tcW w:w="2268" w:type="dxa"/>
          </w:tcPr>
          <w:p w14:paraId="6B0656CA" w14:textId="77777777" w:rsidR="005A4E6B" w:rsidRPr="008467EB" w:rsidRDefault="00EA0FE9" w:rsidP="00F20864">
            <w:pPr>
              <w:pStyle w:val="QRGTableTextLeft"/>
              <w:rPr>
                <w:sz w:val="20"/>
                <w:szCs w:val="20"/>
              </w:rPr>
            </w:pPr>
            <w:r>
              <w:t>Parent Organisation</w:t>
            </w:r>
          </w:p>
        </w:tc>
        <w:tc>
          <w:tcPr>
            <w:tcW w:w="8222" w:type="dxa"/>
          </w:tcPr>
          <w:p w14:paraId="6D3C7D10" w14:textId="77777777" w:rsidR="005A4E6B" w:rsidRPr="008467EB" w:rsidRDefault="00EA0FE9" w:rsidP="004929AF">
            <w:pPr>
              <w:pStyle w:val="QRGTableTextLeft"/>
              <w:rPr>
                <w:sz w:val="20"/>
                <w:szCs w:val="20"/>
              </w:rPr>
            </w:pPr>
            <w:r>
              <w:t xml:space="preserve">An organisation that has smaller "child" organisations reporting to it. Parent organisations </w:t>
            </w:r>
            <w:r w:rsidR="004929AF">
              <w:t>need</w:t>
            </w:r>
            <w:r>
              <w:t xml:space="preserve"> to have an ABN recorded in the </w:t>
            </w:r>
            <w:r w:rsidR="00EE1209">
              <w:t xml:space="preserve">Data </w:t>
            </w:r>
            <w:r>
              <w:t>Portal.</w:t>
            </w:r>
          </w:p>
        </w:tc>
      </w:tr>
      <w:tr w:rsidR="005A4E6B" w:rsidRPr="008467EB" w14:paraId="230A4EF3" w14:textId="77777777" w:rsidTr="00864E8C">
        <w:tc>
          <w:tcPr>
            <w:tcW w:w="2268" w:type="dxa"/>
          </w:tcPr>
          <w:p w14:paraId="68799F3B" w14:textId="77777777" w:rsidR="005A4E6B" w:rsidRPr="008467EB" w:rsidRDefault="00EA0FE9" w:rsidP="00EA0FE9">
            <w:pPr>
              <w:pStyle w:val="QRGTableTextLeft"/>
              <w:rPr>
                <w:sz w:val="20"/>
                <w:szCs w:val="20"/>
              </w:rPr>
            </w:pPr>
            <w:r>
              <w:t>Child Organisation</w:t>
            </w:r>
          </w:p>
        </w:tc>
        <w:tc>
          <w:tcPr>
            <w:tcW w:w="8222" w:type="dxa"/>
          </w:tcPr>
          <w:p w14:paraId="1CDE9BC3" w14:textId="77777777" w:rsidR="005A4E6B" w:rsidRPr="008467EB" w:rsidRDefault="00EA0FE9" w:rsidP="00417B51">
            <w:pPr>
              <w:pStyle w:val="QRGTableTextLeft"/>
              <w:rPr>
                <w:sz w:val="20"/>
                <w:szCs w:val="20"/>
              </w:rPr>
            </w:pPr>
            <w:r>
              <w:t>An organisation that reports to a larger "parent" organisation. A child organisation is not required to have an ABN.</w:t>
            </w:r>
          </w:p>
        </w:tc>
      </w:tr>
      <w:tr w:rsidR="005A4E6B" w:rsidRPr="008467EB" w14:paraId="1394C14F" w14:textId="77777777" w:rsidTr="00864E8C">
        <w:tc>
          <w:tcPr>
            <w:tcW w:w="2268" w:type="dxa"/>
          </w:tcPr>
          <w:p w14:paraId="5D838236" w14:textId="77777777" w:rsidR="005A4E6B" w:rsidRPr="008467EB" w:rsidRDefault="00EA0FE9" w:rsidP="00494262">
            <w:pPr>
              <w:pStyle w:val="QRGTableTextLeft"/>
              <w:rPr>
                <w:sz w:val="20"/>
                <w:szCs w:val="20"/>
              </w:rPr>
            </w:pPr>
            <w:r>
              <w:t>Action</w:t>
            </w:r>
          </w:p>
        </w:tc>
        <w:tc>
          <w:tcPr>
            <w:tcW w:w="8222" w:type="dxa"/>
          </w:tcPr>
          <w:p w14:paraId="19274BD4" w14:textId="222593A1" w:rsidR="005A4E6B" w:rsidRPr="008467EB" w:rsidRDefault="00813CB2" w:rsidP="00494262">
            <w:pPr>
              <w:pStyle w:val="QRGTableTextLeft"/>
              <w:rPr>
                <w:sz w:val="20"/>
                <w:szCs w:val="20"/>
              </w:rPr>
            </w:pPr>
            <w:r>
              <w:t>To</w:t>
            </w:r>
            <w:r w:rsidR="00EA0FE9">
              <w:t xml:space="preserve"> move a data asset to the next stage of the </w:t>
            </w:r>
            <w:r w:rsidR="00EA0FE9" w:rsidRPr="00EA0FE9">
              <w:t xml:space="preserve">data asset submission workflow, an appropriate action needs to be selected in the </w:t>
            </w:r>
            <w:r w:rsidR="00EE1209">
              <w:t xml:space="preserve">Data </w:t>
            </w:r>
            <w:r w:rsidR="00EA0FE9" w:rsidRPr="00EA0FE9">
              <w:t>Portal.</w:t>
            </w:r>
          </w:p>
        </w:tc>
      </w:tr>
      <w:tr w:rsidR="005A4E6B" w:rsidRPr="008467EB" w14:paraId="3C564BA0" w14:textId="77777777" w:rsidTr="00864E8C">
        <w:tc>
          <w:tcPr>
            <w:tcW w:w="2268" w:type="dxa"/>
          </w:tcPr>
          <w:p w14:paraId="4CC8BD81" w14:textId="77777777" w:rsidR="005A4E6B" w:rsidRPr="008467EB" w:rsidRDefault="003C113F" w:rsidP="00DD1C0F">
            <w:pPr>
              <w:pStyle w:val="QRGTableTextLeft"/>
              <w:rPr>
                <w:sz w:val="20"/>
                <w:szCs w:val="20"/>
              </w:rPr>
            </w:pPr>
            <w:r>
              <w:t>Organisation Type</w:t>
            </w:r>
          </w:p>
        </w:tc>
        <w:tc>
          <w:tcPr>
            <w:tcW w:w="8222" w:type="dxa"/>
          </w:tcPr>
          <w:p w14:paraId="4C1AD47B" w14:textId="22BD7EB7" w:rsidR="005A4E6B" w:rsidRPr="008467EB" w:rsidRDefault="003C113F" w:rsidP="003C113F">
            <w:pPr>
              <w:pStyle w:val="QRGTableTextLeft"/>
              <w:rPr>
                <w:sz w:val="20"/>
                <w:szCs w:val="20"/>
              </w:rPr>
            </w:pPr>
            <w:r>
              <w:t xml:space="preserve">The category of organisation (for example, Local Government, Non-Government </w:t>
            </w:r>
            <w:r w:rsidR="001D5960">
              <w:t>h</w:t>
            </w:r>
            <w:r>
              <w:t xml:space="preserve">ealth </w:t>
            </w:r>
            <w:r w:rsidR="001D5960">
              <w:t>s</w:t>
            </w:r>
            <w:r>
              <w:t xml:space="preserve">ervice). This is used for grouping reporting data for </w:t>
            </w:r>
            <w:r w:rsidR="00813CB2">
              <w:t>types</w:t>
            </w:r>
            <w:r>
              <w:t xml:space="preserve"> of organisations.</w:t>
            </w:r>
          </w:p>
        </w:tc>
      </w:tr>
      <w:tr w:rsidR="005A4E6B" w:rsidRPr="008467EB" w14:paraId="2283A7C9" w14:textId="77777777" w:rsidTr="00864E8C">
        <w:tc>
          <w:tcPr>
            <w:tcW w:w="2268" w:type="dxa"/>
          </w:tcPr>
          <w:p w14:paraId="55A003E7" w14:textId="77777777" w:rsidR="005A4E6B" w:rsidRPr="008467EB" w:rsidRDefault="003C113F" w:rsidP="00B8504F">
            <w:pPr>
              <w:pStyle w:val="QRGTableTextLeft"/>
              <w:rPr>
                <w:sz w:val="20"/>
                <w:szCs w:val="20"/>
              </w:rPr>
            </w:pPr>
            <w:r>
              <w:t>Shared Data Asset</w:t>
            </w:r>
          </w:p>
        </w:tc>
        <w:tc>
          <w:tcPr>
            <w:tcW w:w="8222" w:type="dxa"/>
          </w:tcPr>
          <w:p w14:paraId="76C29965" w14:textId="31778628" w:rsidR="005A4E6B" w:rsidRPr="008467EB" w:rsidRDefault="003C113F" w:rsidP="00B8504F">
            <w:pPr>
              <w:pStyle w:val="QRGTableTextLeft"/>
              <w:rPr>
                <w:sz w:val="20"/>
                <w:szCs w:val="20"/>
              </w:rPr>
            </w:pPr>
            <w:r>
              <w:t xml:space="preserve">A data asset that can be seen in the </w:t>
            </w:r>
            <w:r w:rsidR="00EE1209">
              <w:t xml:space="preserve">Data </w:t>
            </w:r>
            <w:r>
              <w:t>Portal by all users with access to a particular folder - this may be across different organisations. There may be information Health</w:t>
            </w:r>
            <w:r w:rsidR="001D5960">
              <w:t xml:space="preserve"> and Aged Care</w:t>
            </w:r>
            <w:r w:rsidR="00C97B7A">
              <w:t>,</w:t>
            </w:r>
            <w:r>
              <w:t xml:space="preserve"> for example</w:t>
            </w:r>
            <w:r w:rsidR="00C97B7A">
              <w:t>,</w:t>
            </w:r>
            <w:r>
              <w:t xml:space="preserve"> wants all organisations to see - if so, they can disseminate this information as a shared data asset in the </w:t>
            </w:r>
            <w:r w:rsidR="00EE1209">
              <w:t xml:space="preserve">Data </w:t>
            </w:r>
            <w:r>
              <w:t>Portal.</w:t>
            </w:r>
          </w:p>
        </w:tc>
      </w:tr>
      <w:tr w:rsidR="003C113F" w:rsidRPr="008467EB" w14:paraId="73125F7A" w14:textId="77777777" w:rsidTr="00864E8C">
        <w:tc>
          <w:tcPr>
            <w:tcW w:w="2268" w:type="dxa"/>
          </w:tcPr>
          <w:p w14:paraId="2FC899AB" w14:textId="77777777" w:rsidR="003C113F" w:rsidRDefault="003C113F" w:rsidP="00B8504F">
            <w:pPr>
              <w:pStyle w:val="QRGTableTextLeft"/>
            </w:pPr>
            <w:r>
              <w:t>FOFMS ID</w:t>
            </w:r>
          </w:p>
        </w:tc>
        <w:tc>
          <w:tcPr>
            <w:tcW w:w="8222" w:type="dxa"/>
          </w:tcPr>
          <w:p w14:paraId="191709AA" w14:textId="77777777" w:rsidR="003C113F" w:rsidRDefault="00282A95" w:rsidP="00282A95">
            <w:pPr>
              <w:pStyle w:val="QRGTableTextLeft"/>
            </w:pPr>
            <w:r>
              <w:t>FOFMS is th</w:t>
            </w:r>
            <w:r w:rsidR="00D43A67">
              <w:t xml:space="preserve">e system Health </w:t>
            </w:r>
            <w:r w:rsidR="001D5960">
              <w:t xml:space="preserve">and Aged Care </w:t>
            </w:r>
            <w:r w:rsidR="00D43A67">
              <w:t>uses to manage g</w:t>
            </w:r>
            <w:r>
              <w:t>rant payments. If an organisation receives grants from Health</w:t>
            </w:r>
            <w:r w:rsidR="001D5960">
              <w:t xml:space="preserve"> and Aged Care</w:t>
            </w:r>
            <w:r>
              <w:t xml:space="preserve">, they will have a FOFMS ID recorded in the </w:t>
            </w:r>
            <w:r w:rsidR="00EE1209">
              <w:t xml:space="preserve">Data </w:t>
            </w:r>
            <w:r>
              <w:t>Portal.</w:t>
            </w:r>
          </w:p>
          <w:p w14:paraId="3DBC122F" w14:textId="3D660097" w:rsidR="001D5960" w:rsidRDefault="001D5960" w:rsidP="00282A95">
            <w:pPr>
              <w:pStyle w:val="QRGTableTextLeft"/>
            </w:pPr>
            <w:r>
              <w:rPr>
                <w:noProof/>
                <w:lang w:eastAsia="en-AU"/>
              </w:rPr>
              <w:drawing>
                <wp:inline distT="0" distB="0" distL="0" distR="0" wp14:anchorId="74F30EDC" wp14:editId="2B8E1060">
                  <wp:extent cx="252000" cy="252000"/>
                  <wp:effectExtent l="0" t="0" r="0" b="0"/>
                  <wp:docPr id="7" name="Picture 7" title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MKeyS_icon_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FOFMS ahs been renamed to GPS but the Health Data Portal still refers to it as FOFMS. </w:t>
            </w:r>
          </w:p>
        </w:tc>
      </w:tr>
      <w:tr w:rsidR="00282A95" w:rsidRPr="008467EB" w14:paraId="69D3B3B9" w14:textId="77777777" w:rsidTr="00864E8C">
        <w:tc>
          <w:tcPr>
            <w:tcW w:w="2268" w:type="dxa"/>
          </w:tcPr>
          <w:p w14:paraId="22E5B353" w14:textId="77777777" w:rsidR="00282A95" w:rsidRDefault="00282A95" w:rsidP="00B8504F">
            <w:pPr>
              <w:pStyle w:val="QRGTableTextLeft"/>
            </w:pPr>
            <w:r>
              <w:lastRenderedPageBreak/>
              <w:t>Status</w:t>
            </w:r>
          </w:p>
        </w:tc>
        <w:tc>
          <w:tcPr>
            <w:tcW w:w="8222" w:type="dxa"/>
          </w:tcPr>
          <w:p w14:paraId="611D2F1F" w14:textId="3C1AD8B5" w:rsidR="00282A95" w:rsidRDefault="00282A95" w:rsidP="00282A95">
            <w:pPr>
              <w:pStyle w:val="QRGTableTextLeft"/>
            </w:pPr>
            <w:r>
              <w:t xml:space="preserve">Shows where a data asset submission is up to in the </w:t>
            </w:r>
            <w:r w:rsidR="00C97B7A">
              <w:t>submission</w:t>
            </w:r>
            <w:r>
              <w:t xml:space="preserve"> workflow. There are different statuses in the </w:t>
            </w:r>
            <w:r w:rsidR="00EE1209">
              <w:t>Data</w:t>
            </w:r>
            <w:r w:rsidR="00526C9E">
              <w:t xml:space="preserve"> </w:t>
            </w:r>
            <w:r>
              <w:t xml:space="preserve">Portal for data assets submitted by external organisations and </w:t>
            </w:r>
            <w:r w:rsidR="004929AF">
              <w:t xml:space="preserve">for </w:t>
            </w:r>
            <w:r>
              <w:t>those published by Health</w:t>
            </w:r>
            <w:r w:rsidR="001D5960">
              <w:t xml:space="preserve"> and Aged Care</w:t>
            </w:r>
            <w:r>
              <w:t>.</w:t>
            </w:r>
          </w:p>
          <w:p w14:paraId="37A5AC67" w14:textId="77777777" w:rsidR="007D11D2" w:rsidRDefault="007D11D2" w:rsidP="004929AF">
            <w:pPr>
              <w:pStyle w:val="QRGTableTextLeft"/>
            </w:pPr>
            <w:r>
              <w:t>When a data asset moves from one status to another, the</w:t>
            </w:r>
            <w:r w:rsidR="00D46B40">
              <w:rPr>
                <w:i/>
              </w:rPr>
              <w:t xml:space="preserve"> </w:t>
            </w:r>
            <w:r w:rsidR="004929AF">
              <w:t xml:space="preserve">users with the applicable roles within the </w:t>
            </w:r>
            <w:r w:rsidR="00EE1209">
              <w:t xml:space="preserve">Data </w:t>
            </w:r>
            <w:r w:rsidR="004929AF">
              <w:t>Portal</w:t>
            </w:r>
            <w:r w:rsidR="00D46B40" w:rsidRPr="00D46B40">
              <w:t xml:space="preserve"> </w:t>
            </w:r>
            <w:r>
              <w:t xml:space="preserve">will be notified via email of the status change. </w:t>
            </w:r>
          </w:p>
        </w:tc>
      </w:tr>
      <w:tr w:rsidR="00282A95" w:rsidRPr="008467EB" w14:paraId="03105685" w14:textId="77777777" w:rsidTr="00864E8C">
        <w:tc>
          <w:tcPr>
            <w:tcW w:w="2268" w:type="dxa"/>
          </w:tcPr>
          <w:p w14:paraId="79A2A4E8" w14:textId="77777777" w:rsidR="00282A95" w:rsidRDefault="00282A95" w:rsidP="00B8504F">
            <w:pPr>
              <w:pStyle w:val="QRGTableTextLeft"/>
            </w:pPr>
            <w:r>
              <w:t>Folders</w:t>
            </w:r>
          </w:p>
        </w:tc>
        <w:tc>
          <w:tcPr>
            <w:tcW w:w="8222" w:type="dxa"/>
          </w:tcPr>
          <w:p w14:paraId="6F9D5D47" w14:textId="77777777" w:rsidR="00282A95" w:rsidRDefault="00282A95" w:rsidP="00282A95">
            <w:pPr>
              <w:pStyle w:val="QRGTableTextLeft"/>
            </w:pPr>
            <w:r>
              <w:t xml:space="preserve">Used to provide permissions for submitted data. A user will only be able to submit a data asset for information relating to the folder or folders they have been given access to. </w:t>
            </w:r>
          </w:p>
        </w:tc>
      </w:tr>
      <w:tr w:rsidR="007704F4" w:rsidRPr="008467EB" w14:paraId="05298CF4" w14:textId="77777777" w:rsidTr="00864E8C">
        <w:tc>
          <w:tcPr>
            <w:tcW w:w="2268" w:type="dxa"/>
          </w:tcPr>
          <w:p w14:paraId="24D3EB2F" w14:textId="77777777" w:rsidR="007704F4" w:rsidRDefault="00227510" w:rsidP="00B8504F">
            <w:pPr>
              <w:pStyle w:val="QRGTableTextLeft"/>
            </w:pPr>
            <w:r>
              <w:t xml:space="preserve">Data </w:t>
            </w:r>
            <w:r w:rsidR="007704F4">
              <w:t>File</w:t>
            </w:r>
          </w:p>
        </w:tc>
        <w:tc>
          <w:tcPr>
            <w:tcW w:w="8222" w:type="dxa"/>
          </w:tcPr>
          <w:p w14:paraId="70F22CC3" w14:textId="77777777" w:rsidR="00227510" w:rsidRDefault="00227510" w:rsidP="00227510">
            <w:pPr>
              <w:pStyle w:val="QRGTableTextLeft"/>
            </w:pPr>
            <w:r>
              <w:t xml:space="preserve">A data file is the </w:t>
            </w:r>
            <w:r w:rsidR="00C97B7A">
              <w:t xml:space="preserve">file or document </w:t>
            </w:r>
            <w:r>
              <w:t xml:space="preserve">that is uploaded to a data asset during the data asset submission process in the </w:t>
            </w:r>
            <w:r w:rsidR="00EE1209">
              <w:t xml:space="preserve">Data </w:t>
            </w:r>
            <w:r>
              <w:t>Portal.</w:t>
            </w:r>
          </w:p>
          <w:p w14:paraId="15AC18A6" w14:textId="77777777" w:rsidR="007704F4" w:rsidRDefault="00CC7CF5" w:rsidP="00CC7CF5">
            <w:pPr>
              <w:pStyle w:val="QRGTableTextLeft"/>
            </w:pPr>
            <w:r>
              <w:rPr>
                <w:noProof/>
                <w:lang w:eastAsia="en-AU"/>
              </w:rPr>
              <w:drawing>
                <wp:inline distT="0" distB="0" distL="0" distR="0" wp14:anchorId="1068F751" wp14:editId="25E49726">
                  <wp:extent cx="252000" cy="252000"/>
                  <wp:effectExtent l="0" t="0" r="0" b="0"/>
                  <wp:docPr id="9" name="Picture 9" title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MKeyS_icon_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704F4">
              <w:t>.exe file</w:t>
            </w:r>
            <w:r>
              <w:t>s can’t be uploaded to a data asset</w:t>
            </w:r>
            <w:r w:rsidR="007704F4">
              <w:t xml:space="preserve">. </w:t>
            </w:r>
          </w:p>
          <w:p w14:paraId="063A49B0" w14:textId="2DDD00CD" w:rsidR="00D46B40" w:rsidRDefault="00D46B40" w:rsidP="00C427E6">
            <w:pPr>
              <w:pStyle w:val="QRGTableTextLeft"/>
            </w:pPr>
            <w:r w:rsidRPr="00791D7B">
              <w:rPr>
                <w:b/>
              </w:rPr>
              <w:t>Indigenous Health Data Reporting only:</w:t>
            </w:r>
            <w:r w:rsidR="00EC5C18">
              <w:t xml:space="preserve"> the data file</w:t>
            </w:r>
            <w:r w:rsidR="00C427E6">
              <w:t xml:space="preserve"> for Indigenous </w:t>
            </w:r>
            <w:r w:rsidR="001D5960">
              <w:t>h</w:t>
            </w:r>
            <w:r w:rsidR="00C427E6">
              <w:t xml:space="preserve">ealth </w:t>
            </w:r>
            <w:r w:rsidR="001D5960">
              <w:t>d</w:t>
            </w:r>
            <w:r w:rsidR="00C427E6">
              <w:t xml:space="preserve">ata </w:t>
            </w:r>
            <w:r w:rsidR="001D5960">
              <w:t>r</w:t>
            </w:r>
            <w:r w:rsidR="00C427E6">
              <w:t>eporting</w:t>
            </w:r>
            <w:r w:rsidR="00EC5C18">
              <w:t xml:space="preserve"> will be </w:t>
            </w:r>
            <w:r w:rsidR="00791D7B">
              <w:t>an XML file</w:t>
            </w:r>
            <w:r w:rsidR="00282C89">
              <w:t>/form</w:t>
            </w:r>
            <w:r w:rsidR="00791D7B">
              <w:t xml:space="preserve"> that can </w:t>
            </w:r>
            <w:r w:rsidR="00C427E6">
              <w:t xml:space="preserve">be </w:t>
            </w:r>
            <w:r w:rsidR="00791D7B">
              <w:t>updated as required</w:t>
            </w:r>
            <w:r w:rsidR="00C427E6">
              <w:t>.</w:t>
            </w:r>
          </w:p>
        </w:tc>
      </w:tr>
      <w:tr w:rsidR="00282A95" w:rsidRPr="008467EB" w14:paraId="0DD216A7" w14:textId="77777777" w:rsidTr="00864E8C">
        <w:tc>
          <w:tcPr>
            <w:tcW w:w="2268" w:type="dxa"/>
          </w:tcPr>
          <w:p w14:paraId="26111FF8" w14:textId="77777777" w:rsidR="00282A95" w:rsidRDefault="00FF0172" w:rsidP="00B8504F">
            <w:pPr>
              <w:pStyle w:val="QRGTableTextLeft"/>
            </w:pPr>
            <w:r>
              <w:t>File Permissions</w:t>
            </w:r>
          </w:p>
        </w:tc>
        <w:tc>
          <w:tcPr>
            <w:tcW w:w="8222" w:type="dxa"/>
          </w:tcPr>
          <w:p w14:paraId="7A0430D3" w14:textId="77777777" w:rsidR="00282A95" w:rsidRDefault="00FF0172" w:rsidP="004929AF">
            <w:pPr>
              <w:pStyle w:val="QRGTableTextLeft"/>
            </w:pPr>
            <w:r>
              <w:t xml:space="preserve">Used to determine the </w:t>
            </w:r>
            <w:r w:rsidR="004929AF">
              <w:t xml:space="preserve">published </w:t>
            </w:r>
            <w:r>
              <w:t xml:space="preserve">information users can see in the </w:t>
            </w:r>
            <w:r w:rsidR="00EE1209">
              <w:t xml:space="preserve">Data </w:t>
            </w:r>
            <w:r>
              <w:t xml:space="preserve">Portal. </w:t>
            </w:r>
            <w:r w:rsidR="00D46B40">
              <w:t>Users</w:t>
            </w:r>
            <w:r>
              <w:t xml:space="preserve"> will only be able to see the </w:t>
            </w:r>
            <w:r w:rsidR="004929AF">
              <w:t>published</w:t>
            </w:r>
            <w:r>
              <w:t xml:space="preserve"> data assets they have been given file permissions for.</w:t>
            </w:r>
          </w:p>
        </w:tc>
      </w:tr>
      <w:tr w:rsidR="00652125" w:rsidRPr="008467EB" w14:paraId="7EAA9CDA" w14:textId="77777777" w:rsidTr="00864E8C">
        <w:tc>
          <w:tcPr>
            <w:tcW w:w="2268" w:type="dxa"/>
          </w:tcPr>
          <w:p w14:paraId="4FBBABDB" w14:textId="77777777" w:rsidR="00652125" w:rsidRDefault="00652125" w:rsidP="00B8504F">
            <w:pPr>
              <w:pStyle w:val="QRGTableTextLeft"/>
            </w:pPr>
            <w:r>
              <w:t>Trading Name</w:t>
            </w:r>
          </w:p>
        </w:tc>
        <w:tc>
          <w:tcPr>
            <w:tcW w:w="8222" w:type="dxa"/>
          </w:tcPr>
          <w:p w14:paraId="6DBCCA52" w14:textId="77777777" w:rsidR="00652125" w:rsidRDefault="00652125" w:rsidP="00FF0172">
            <w:pPr>
              <w:pStyle w:val="QRGTableTextLeft"/>
            </w:pPr>
            <w:r>
              <w:t xml:space="preserve">An organisation's trading name is what they are known as to customers or people that interact with the organisation. An organisation could have several trading names listed in the </w:t>
            </w:r>
            <w:r w:rsidR="00EE1209">
              <w:t xml:space="preserve">Data </w:t>
            </w:r>
            <w:r>
              <w:t>Portal.</w:t>
            </w:r>
          </w:p>
        </w:tc>
      </w:tr>
      <w:tr w:rsidR="00C81184" w:rsidRPr="008467EB" w14:paraId="244D0871" w14:textId="77777777" w:rsidTr="00864E8C">
        <w:tc>
          <w:tcPr>
            <w:tcW w:w="2268" w:type="dxa"/>
          </w:tcPr>
          <w:p w14:paraId="72505B24" w14:textId="77777777" w:rsidR="00C81184" w:rsidRDefault="00C81184" w:rsidP="00B8504F">
            <w:pPr>
              <w:pStyle w:val="QRGTableTextLeft"/>
            </w:pPr>
            <w:r>
              <w:t>Data Purge</w:t>
            </w:r>
          </w:p>
        </w:tc>
        <w:tc>
          <w:tcPr>
            <w:tcW w:w="8222" w:type="dxa"/>
          </w:tcPr>
          <w:p w14:paraId="0FC56F57" w14:textId="77777777" w:rsidR="00C81184" w:rsidRDefault="00C81184" w:rsidP="00C81184">
            <w:pPr>
              <w:pStyle w:val="QRGTableTextLeft"/>
            </w:pPr>
            <w:r>
              <w:t>If a data asset in the Data Portal has a file attached that contains potentially sensitive information, that data file can be removed from the Data Portal by users with the required role. This process is known as a Data Purge.</w:t>
            </w:r>
          </w:p>
        </w:tc>
      </w:tr>
    </w:tbl>
    <w:p w14:paraId="3A49947E" w14:textId="77777777" w:rsidR="008467EB" w:rsidRPr="008467EB" w:rsidRDefault="008467EB" w:rsidP="00B02CC8">
      <w:pPr>
        <w:pStyle w:val="QRGTableTextLeft"/>
        <w:rPr>
          <w:sz w:val="20"/>
          <w:szCs w:val="20"/>
        </w:rPr>
        <w:sectPr w:rsidR="008467EB" w:rsidRPr="008467EB" w:rsidSect="005A4E6B">
          <w:type w:val="continuous"/>
          <w:pgSz w:w="11906" w:h="16838" w:code="9"/>
          <w:pgMar w:top="2552" w:right="849" w:bottom="851" w:left="567" w:header="284" w:footer="0" w:gutter="0"/>
          <w:cols w:space="708"/>
          <w:docGrid w:linePitch="360"/>
        </w:sectPr>
      </w:pPr>
    </w:p>
    <w:p w14:paraId="33D27D84" w14:textId="77777777" w:rsidR="008467EB" w:rsidRPr="008467EB" w:rsidRDefault="00C427E6" w:rsidP="008467EB">
      <w:pPr>
        <w:pStyle w:val="QRGTableTextLeft"/>
        <w:rPr>
          <w:sz w:val="20"/>
          <w:szCs w:val="20"/>
          <w:highlight w:val="green"/>
        </w:rPr>
        <w:sectPr w:rsidR="008467EB" w:rsidRPr="008467EB" w:rsidSect="008467EB">
          <w:type w:val="continuous"/>
          <w:pgSz w:w="11906" w:h="16838" w:code="9"/>
          <w:pgMar w:top="1843" w:right="849" w:bottom="851" w:left="567" w:header="284" w:footer="0" w:gutter="0"/>
          <w:cols w:space="708"/>
          <w:docGrid w:linePitch="360"/>
        </w:sectPr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875389" wp14:editId="5B9C9A97">
                <wp:simplePos x="0" y="0"/>
                <wp:positionH relativeFrom="column">
                  <wp:posOffset>2726055</wp:posOffset>
                </wp:positionH>
                <wp:positionV relativeFrom="page">
                  <wp:posOffset>375920</wp:posOffset>
                </wp:positionV>
                <wp:extent cx="4147185" cy="52006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FC2CE" w14:textId="77777777" w:rsidR="00227510" w:rsidRPr="006D75D0" w:rsidRDefault="00227510" w:rsidP="002275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D75D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Health Data Portal Glossary of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875389" id="Text Box 1" o:spid="_x0000_s1027" type="#_x0000_t202" style="position:absolute;margin-left:214.65pt;margin-top:29.6pt;width:326.55pt;height:40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" filled="f" stroked="f">
                <v:textbox style="mso-fit-shape-to-text:t">
                  <w:txbxContent>
                    <w:p w14:paraId="253FC2CE" w14:textId="77777777" w:rsidR="00227510" w:rsidRPr="006D75D0" w:rsidRDefault="00227510" w:rsidP="00227510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D75D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Health Data Portal Glossary of Terms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25FF54" w14:textId="77777777" w:rsidR="008467EB" w:rsidRDefault="008467EB" w:rsidP="004B59EB">
      <w:pPr>
        <w:pStyle w:val="QRGText"/>
      </w:pPr>
    </w:p>
    <w:p w14:paraId="25C11335" w14:textId="77777777" w:rsidR="00A6070D" w:rsidRPr="0058320B" w:rsidRDefault="00A6070D" w:rsidP="00705BE7">
      <w:pPr>
        <w:pStyle w:val="QRGPictureLeft"/>
      </w:pPr>
    </w:p>
    <w:sectPr w:rsidR="00A6070D" w:rsidRPr="0058320B" w:rsidSect="008467EB">
      <w:type w:val="continuous"/>
      <w:pgSz w:w="11906" w:h="16838" w:code="9"/>
      <w:pgMar w:top="1843" w:right="849" w:bottom="851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EF5D" w14:textId="77777777" w:rsidR="00BF448D" w:rsidRDefault="00BF448D" w:rsidP="00AF798B">
      <w:pPr>
        <w:spacing w:before="0" w:after="0"/>
      </w:pPr>
      <w:r>
        <w:separator/>
      </w:r>
    </w:p>
    <w:p w14:paraId="0A40C191" w14:textId="77777777" w:rsidR="00BF448D" w:rsidRDefault="00BF448D"/>
  </w:endnote>
  <w:endnote w:type="continuationSeparator" w:id="0">
    <w:p w14:paraId="6F2B9298" w14:textId="77777777" w:rsidR="00BF448D" w:rsidRDefault="00BF448D" w:rsidP="00AF798B">
      <w:pPr>
        <w:spacing w:before="0" w:after="0"/>
      </w:pPr>
      <w:r>
        <w:continuationSeparator/>
      </w:r>
    </w:p>
    <w:p w14:paraId="75A3BED6" w14:textId="77777777" w:rsidR="00BF448D" w:rsidRDefault="00BF4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2AD17AE9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282C89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E324DC">
              <w:rPr>
                <w:noProof/>
              </w:rPr>
              <w:fldChar w:fldCharType="begin"/>
            </w:r>
            <w:r w:rsidR="00E324DC">
              <w:rPr>
                <w:noProof/>
              </w:rPr>
              <w:instrText xml:space="preserve"> NUMPAGES  </w:instrText>
            </w:r>
            <w:r w:rsidR="00E324DC">
              <w:rPr>
                <w:noProof/>
              </w:rPr>
              <w:fldChar w:fldCharType="separate"/>
            </w:r>
            <w:r w:rsidR="00282C89">
              <w:rPr>
                <w:noProof/>
              </w:rPr>
              <w:t>2</w:t>
            </w:r>
            <w:r w:rsidR="00E324DC">
              <w:rPr>
                <w:noProof/>
              </w:rPr>
              <w:fldChar w:fldCharType="end"/>
            </w:r>
          </w:p>
        </w:sdtContent>
      </w:sdt>
    </w:sdtContent>
  </w:sdt>
  <w:p w14:paraId="416506AD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2E34" w14:textId="77777777" w:rsidR="00BF448D" w:rsidRDefault="00BF448D" w:rsidP="00AF798B">
      <w:pPr>
        <w:spacing w:before="0" w:after="0"/>
      </w:pPr>
      <w:r>
        <w:separator/>
      </w:r>
    </w:p>
    <w:p w14:paraId="1A15327F" w14:textId="77777777" w:rsidR="00BF448D" w:rsidRDefault="00BF448D"/>
  </w:footnote>
  <w:footnote w:type="continuationSeparator" w:id="0">
    <w:p w14:paraId="1B65B96A" w14:textId="77777777" w:rsidR="00BF448D" w:rsidRDefault="00BF448D" w:rsidP="00AF798B">
      <w:pPr>
        <w:spacing w:before="0" w:after="0"/>
      </w:pPr>
      <w:r>
        <w:continuationSeparator/>
      </w:r>
    </w:p>
    <w:p w14:paraId="2886DC5E" w14:textId="77777777" w:rsidR="00BF448D" w:rsidRDefault="00BF44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DC64" w14:textId="5E9172C6" w:rsidR="00AF798B" w:rsidRPr="00EB6A7A" w:rsidRDefault="00D67954" w:rsidP="00EB6A7A">
    <w:pPr>
      <w:pStyle w:val="QRGHeaderText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0CECFF6F" wp14:editId="6AE5FB58">
          <wp:simplePos x="0" y="0"/>
          <wp:positionH relativeFrom="column">
            <wp:posOffset>-207645</wp:posOffset>
          </wp:positionH>
          <wp:positionV relativeFrom="paragraph">
            <wp:posOffset>86360</wp:posOffset>
          </wp:positionV>
          <wp:extent cx="2724150" cy="781050"/>
          <wp:effectExtent l="0" t="0" r="0" b="0"/>
          <wp:wrapSquare wrapText="bothSides"/>
          <wp:docPr id="3" name="Picture 3" descr="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F30" w:rsidRPr="00060F30"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3705713D" wp14:editId="66D60B12">
          <wp:simplePos x="0" y="0"/>
          <wp:positionH relativeFrom="column">
            <wp:posOffset>-360045</wp:posOffset>
          </wp:positionH>
          <wp:positionV relativeFrom="paragraph">
            <wp:posOffset>-170815</wp:posOffset>
          </wp:positionV>
          <wp:extent cx="8071200" cy="1267200"/>
          <wp:effectExtent l="19050" t="19050" r="25400" b="28575"/>
          <wp:wrapNone/>
          <wp:docPr id="10" name="Picture 10" descr="Top banner showing the Department of Health crest and the &quot;Health Data Portal Glossary of Terms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 (00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1200" cy="1267200"/>
                  </a:xfrm>
                  <a:prstGeom prst="rect">
                    <a:avLst/>
                  </a:prstGeom>
                  <a:noFill/>
                  <a:ln>
                    <a:solidFill>
                      <a:schemeClr val="tx1">
                        <a:alpha val="40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2C3F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AA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2EC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42F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7E4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89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0D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22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749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86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245D3"/>
    <w:multiLevelType w:val="hybridMultilevel"/>
    <w:tmpl w:val="94D2A6D0"/>
    <w:lvl w:ilvl="0" w:tplc="10C840F6">
      <w:start w:val="1"/>
      <w:numFmt w:val="bullet"/>
      <w:pStyle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313F051E"/>
    <w:multiLevelType w:val="hybridMultilevel"/>
    <w:tmpl w:val="DD8E167C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0876">
    <w:abstractNumId w:val="12"/>
  </w:num>
  <w:num w:numId="2" w16cid:durableId="1480732481">
    <w:abstractNumId w:val="11"/>
  </w:num>
  <w:num w:numId="3" w16cid:durableId="43991278">
    <w:abstractNumId w:val="13"/>
  </w:num>
  <w:num w:numId="4" w16cid:durableId="630599754">
    <w:abstractNumId w:val="11"/>
    <w:lvlOverride w:ilvl="0">
      <w:startOverride w:val="1"/>
    </w:lvlOverride>
  </w:num>
  <w:num w:numId="5" w16cid:durableId="647124418">
    <w:abstractNumId w:val="11"/>
    <w:lvlOverride w:ilvl="0">
      <w:startOverride w:val="1"/>
    </w:lvlOverride>
  </w:num>
  <w:num w:numId="6" w16cid:durableId="1996836931">
    <w:abstractNumId w:val="11"/>
    <w:lvlOverride w:ilvl="0">
      <w:startOverride w:val="1"/>
    </w:lvlOverride>
  </w:num>
  <w:num w:numId="7" w16cid:durableId="1403016901">
    <w:abstractNumId w:val="9"/>
  </w:num>
  <w:num w:numId="8" w16cid:durableId="1693989521">
    <w:abstractNumId w:val="7"/>
  </w:num>
  <w:num w:numId="9" w16cid:durableId="1975869560">
    <w:abstractNumId w:val="6"/>
  </w:num>
  <w:num w:numId="10" w16cid:durableId="1233925030">
    <w:abstractNumId w:val="5"/>
  </w:num>
  <w:num w:numId="11" w16cid:durableId="1558735532">
    <w:abstractNumId w:val="4"/>
  </w:num>
  <w:num w:numId="12" w16cid:durableId="1228031261">
    <w:abstractNumId w:val="8"/>
  </w:num>
  <w:num w:numId="13" w16cid:durableId="1392384663">
    <w:abstractNumId w:val="3"/>
  </w:num>
  <w:num w:numId="14" w16cid:durableId="1132750273">
    <w:abstractNumId w:val="2"/>
  </w:num>
  <w:num w:numId="15" w16cid:durableId="746806309">
    <w:abstractNumId w:val="1"/>
  </w:num>
  <w:num w:numId="16" w16cid:durableId="122887018">
    <w:abstractNumId w:val="0"/>
  </w:num>
  <w:num w:numId="17" w16cid:durableId="1580753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69B"/>
    <w:rsid w:val="00003743"/>
    <w:rsid w:val="00056198"/>
    <w:rsid w:val="00060F30"/>
    <w:rsid w:val="00067456"/>
    <w:rsid w:val="00073123"/>
    <w:rsid w:val="000E3CDD"/>
    <w:rsid w:val="001144F7"/>
    <w:rsid w:val="00135C0E"/>
    <w:rsid w:val="001B3443"/>
    <w:rsid w:val="001D5960"/>
    <w:rsid w:val="00200606"/>
    <w:rsid w:val="00201169"/>
    <w:rsid w:val="00214826"/>
    <w:rsid w:val="00227510"/>
    <w:rsid w:val="00282A95"/>
    <w:rsid w:val="00282C89"/>
    <w:rsid w:val="002E4840"/>
    <w:rsid w:val="0030786C"/>
    <w:rsid w:val="00313943"/>
    <w:rsid w:val="00316F6F"/>
    <w:rsid w:val="00350174"/>
    <w:rsid w:val="003C113F"/>
    <w:rsid w:val="003D17F9"/>
    <w:rsid w:val="003D3A1F"/>
    <w:rsid w:val="003E6F62"/>
    <w:rsid w:val="003F26C8"/>
    <w:rsid w:val="0041771E"/>
    <w:rsid w:val="00483270"/>
    <w:rsid w:val="004867E2"/>
    <w:rsid w:val="004929AF"/>
    <w:rsid w:val="004B0826"/>
    <w:rsid w:val="004B59EB"/>
    <w:rsid w:val="00526C9E"/>
    <w:rsid w:val="0057671C"/>
    <w:rsid w:val="0058320B"/>
    <w:rsid w:val="005A4E6B"/>
    <w:rsid w:val="00607DF1"/>
    <w:rsid w:val="00630200"/>
    <w:rsid w:val="00652125"/>
    <w:rsid w:val="00665D42"/>
    <w:rsid w:val="006962C7"/>
    <w:rsid w:val="006D75D0"/>
    <w:rsid w:val="00705BE7"/>
    <w:rsid w:val="007704F4"/>
    <w:rsid w:val="00783F0B"/>
    <w:rsid w:val="00791D7B"/>
    <w:rsid w:val="00792542"/>
    <w:rsid w:val="00793165"/>
    <w:rsid w:val="007C4D6B"/>
    <w:rsid w:val="007D11D2"/>
    <w:rsid w:val="007F6326"/>
    <w:rsid w:val="008124D5"/>
    <w:rsid w:val="00813CB2"/>
    <w:rsid w:val="00814BA5"/>
    <w:rsid w:val="008201F9"/>
    <w:rsid w:val="008264EB"/>
    <w:rsid w:val="0083749F"/>
    <w:rsid w:val="008467EB"/>
    <w:rsid w:val="0086094A"/>
    <w:rsid w:val="00864E8C"/>
    <w:rsid w:val="008672BE"/>
    <w:rsid w:val="00867F5E"/>
    <w:rsid w:val="00871C17"/>
    <w:rsid w:val="00881FDA"/>
    <w:rsid w:val="008D22B5"/>
    <w:rsid w:val="008D5CEF"/>
    <w:rsid w:val="009331AA"/>
    <w:rsid w:val="00952E9E"/>
    <w:rsid w:val="00954916"/>
    <w:rsid w:val="00975C6F"/>
    <w:rsid w:val="009C607C"/>
    <w:rsid w:val="009C621E"/>
    <w:rsid w:val="00A2669B"/>
    <w:rsid w:val="00A4512D"/>
    <w:rsid w:val="00A6070D"/>
    <w:rsid w:val="00A705AF"/>
    <w:rsid w:val="00AB1DC8"/>
    <w:rsid w:val="00AD1CD6"/>
    <w:rsid w:val="00AE1E8B"/>
    <w:rsid w:val="00AF2D49"/>
    <w:rsid w:val="00AF798B"/>
    <w:rsid w:val="00B13265"/>
    <w:rsid w:val="00B42851"/>
    <w:rsid w:val="00B945E6"/>
    <w:rsid w:val="00B96378"/>
    <w:rsid w:val="00BC6619"/>
    <w:rsid w:val="00BF3C80"/>
    <w:rsid w:val="00BF448D"/>
    <w:rsid w:val="00C427E6"/>
    <w:rsid w:val="00C81184"/>
    <w:rsid w:val="00C84175"/>
    <w:rsid w:val="00C97B7A"/>
    <w:rsid w:val="00CB5B1A"/>
    <w:rsid w:val="00CC3775"/>
    <w:rsid w:val="00CC7CF5"/>
    <w:rsid w:val="00CF536F"/>
    <w:rsid w:val="00D14831"/>
    <w:rsid w:val="00D43A67"/>
    <w:rsid w:val="00D46B40"/>
    <w:rsid w:val="00D53109"/>
    <w:rsid w:val="00D54EB4"/>
    <w:rsid w:val="00D66381"/>
    <w:rsid w:val="00D67954"/>
    <w:rsid w:val="00D77A10"/>
    <w:rsid w:val="00D85489"/>
    <w:rsid w:val="00DA3B41"/>
    <w:rsid w:val="00DF189B"/>
    <w:rsid w:val="00DF6B0E"/>
    <w:rsid w:val="00E15715"/>
    <w:rsid w:val="00E324DC"/>
    <w:rsid w:val="00E60626"/>
    <w:rsid w:val="00EA0FE9"/>
    <w:rsid w:val="00EB2A3A"/>
    <w:rsid w:val="00EB6A7A"/>
    <w:rsid w:val="00EC5C18"/>
    <w:rsid w:val="00ED7D9C"/>
    <w:rsid w:val="00EE1209"/>
    <w:rsid w:val="00F20ED1"/>
    <w:rsid w:val="00F42B96"/>
    <w:rsid w:val="00F735B2"/>
    <w:rsid w:val="00FB4582"/>
    <w:rsid w:val="00FE56E8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F3C155"/>
  <w15:docId w15:val="{E7C697D1-5E29-425A-8825-761BF1DB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7EB"/>
    <w:pPr>
      <w:spacing w:before="120" w:after="120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Heading2NoTOC">
    <w:name w:val="Heading 2 No TOC"/>
    <w:basedOn w:val="Heading2"/>
    <w:next w:val="BodyText"/>
    <w:link w:val="Heading2NoTOCChar"/>
    <w:rsid w:val="008467EB"/>
    <w:pPr>
      <w:spacing w:after="120"/>
    </w:pPr>
    <w:rPr>
      <w:rFonts w:cstheme="minorBidi"/>
      <w:i w:val="0"/>
      <w:color w:val="000000" w:themeColor="text1"/>
      <w:lang w:bidi="en-US"/>
    </w:rPr>
  </w:style>
  <w:style w:type="character" w:customStyle="1" w:styleId="Heading2NoTOCChar">
    <w:name w:val="Heading 2 No TOC Char"/>
    <w:basedOn w:val="DefaultParagraphFont"/>
    <w:link w:val="Heading2NoTOC"/>
    <w:rsid w:val="008467EB"/>
    <w:rPr>
      <w:rFonts w:ascii="Arial" w:eastAsiaTheme="minorHAnsi" w:hAnsi="Arial" w:cstheme="minorBidi"/>
      <w:b/>
      <w:bCs/>
      <w:iCs/>
      <w:color w:val="000000" w:themeColor="text1"/>
      <w:sz w:val="24"/>
      <w:szCs w:val="28"/>
      <w:lang w:eastAsia="en-US" w:bidi="en-US"/>
    </w:rPr>
  </w:style>
  <w:style w:type="paragraph" w:styleId="BodyText">
    <w:name w:val="Body Text"/>
    <w:basedOn w:val="Normal"/>
    <w:link w:val="BodyTextChar"/>
    <w:semiHidden/>
    <w:unhideWhenUsed/>
    <w:rsid w:val="008467EB"/>
  </w:style>
  <w:style w:type="character" w:customStyle="1" w:styleId="BodyTextChar">
    <w:name w:val="Body Text Char"/>
    <w:basedOn w:val="DefaultParagraphFont"/>
    <w:link w:val="BodyText"/>
    <w:semiHidden/>
    <w:rsid w:val="008467EB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qFormat/>
    <w:rsid w:val="008467EB"/>
    <w:pPr>
      <w:numPr>
        <w:numId w:val="17"/>
      </w:numPr>
    </w:pPr>
  </w:style>
  <w:style w:type="character" w:customStyle="1" w:styleId="BulletChar">
    <w:name w:val="Bullet Char"/>
    <w:link w:val="Bullet"/>
    <w:rsid w:val="008467EB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4.5 Quick Reference Guide Version 1.0</vt:lpstr>
    </vt:vector>
  </TitlesOfParts>
  <Company>Department of Immigration and Border Protection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Data Portal Glossary of Terms</dc:title>
  <dc:creator>Joel Dennerley</dc:creator>
  <cp:lastModifiedBy>DUNN, Stuart</cp:lastModifiedBy>
  <cp:revision>55</cp:revision>
  <dcterms:created xsi:type="dcterms:W3CDTF">2018-01-22T00:12:00Z</dcterms:created>
  <dcterms:modified xsi:type="dcterms:W3CDTF">2023-10-19T21:05:00Z</dcterms:modified>
</cp:coreProperties>
</file>