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1261" w14:textId="2835BC99" w:rsidR="002B5DB3" w:rsidRDefault="00242391" w:rsidP="002B5DB3">
      <w:r>
        <w:rPr>
          <w:noProof/>
        </w:rPr>
        <w:drawing>
          <wp:inline distT="0" distB="0" distL="0" distR="0" wp14:anchorId="3090FFDE" wp14:editId="4E445EC3">
            <wp:extent cx="4381500" cy="1333500"/>
            <wp:effectExtent l="0" t="0" r="0" b="0"/>
            <wp:docPr id="1768102031" name="Picture 1" descr="Australian Government Department of Health, Disability and Age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102031" name="Picture 1" descr="Australian Government Department of Health, Disability and Agei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FA9A0" w14:textId="77777777" w:rsidR="002B5DB3" w:rsidRDefault="002B5DB3" w:rsidP="002B5DB3"/>
    <w:p w14:paraId="14B8BB51" w14:textId="77777777" w:rsidR="002B5DB3" w:rsidRDefault="002B5DB3" w:rsidP="002B5DB3"/>
    <w:p w14:paraId="381D4A87" w14:textId="163C947A" w:rsidR="002B5DB3" w:rsidRPr="00EF7331" w:rsidRDefault="00FA7E10" w:rsidP="002B5DB3">
      <w:pPr>
        <w:pStyle w:val="TitlePage1SH"/>
        <w:rPr>
          <w:sz w:val="48"/>
          <w:szCs w:val="48"/>
        </w:rPr>
      </w:pPr>
      <w:r>
        <w:rPr>
          <w:sz w:val="48"/>
          <w:szCs w:val="48"/>
        </w:rPr>
        <w:t>First Nations Health</w:t>
      </w:r>
      <w:r w:rsidR="000C1DEF">
        <w:rPr>
          <w:sz w:val="48"/>
          <w:szCs w:val="48"/>
        </w:rPr>
        <w:t xml:space="preserve"> </w:t>
      </w:r>
      <w:r w:rsidR="00E40054">
        <w:rPr>
          <w:sz w:val="48"/>
          <w:szCs w:val="48"/>
        </w:rPr>
        <w:t>Reporting</w:t>
      </w:r>
      <w:r w:rsidR="00014B57">
        <w:rPr>
          <w:sz w:val="48"/>
          <w:szCs w:val="48"/>
        </w:rPr>
        <w:t>:</w:t>
      </w:r>
      <w:r w:rsidR="001002A0" w:rsidRPr="00EF7331">
        <w:rPr>
          <w:sz w:val="48"/>
          <w:szCs w:val="48"/>
        </w:rPr>
        <w:t xml:space="preserve"> </w:t>
      </w:r>
    </w:p>
    <w:p w14:paraId="56C0E905" w14:textId="38B00A7C" w:rsidR="002B5DB3" w:rsidRPr="00EF7331" w:rsidRDefault="00810E45" w:rsidP="002B5DB3">
      <w:pPr>
        <w:pStyle w:val="TitlePage2SH"/>
        <w:pBdr>
          <w:bottom w:val="single" w:sz="24" w:space="1" w:color="0C2340"/>
        </w:pBdr>
        <w:spacing w:after="0"/>
        <w:rPr>
          <w:sz w:val="48"/>
          <w:szCs w:val="36"/>
        </w:rPr>
      </w:pPr>
      <w:r>
        <w:rPr>
          <w:sz w:val="48"/>
          <w:szCs w:val="36"/>
        </w:rPr>
        <w:t>nKPI and OSR</w:t>
      </w:r>
      <w:r w:rsidR="007E7E5E">
        <w:rPr>
          <w:sz w:val="48"/>
          <w:szCs w:val="36"/>
        </w:rPr>
        <w:t xml:space="preserve"> </w:t>
      </w:r>
      <w:r>
        <w:rPr>
          <w:sz w:val="48"/>
          <w:szCs w:val="36"/>
        </w:rPr>
        <w:t xml:space="preserve">- </w:t>
      </w:r>
      <w:r w:rsidR="009A7111">
        <w:rPr>
          <w:sz w:val="48"/>
          <w:szCs w:val="36"/>
        </w:rPr>
        <w:t>CIS User Guides</w:t>
      </w:r>
      <w:r w:rsidR="000C3E51">
        <w:rPr>
          <w:sz w:val="48"/>
          <w:szCs w:val="36"/>
        </w:rPr>
        <w:t xml:space="preserve"> </w:t>
      </w:r>
    </w:p>
    <w:p w14:paraId="41B845B3" w14:textId="77777777" w:rsidR="002B5DB3" w:rsidRPr="00B45936" w:rsidRDefault="002B5DB3" w:rsidP="002B5DB3">
      <w:pPr>
        <w:pStyle w:val="TitlePage2SH"/>
        <w:pBdr>
          <w:bottom w:val="single" w:sz="24" w:space="1" w:color="0C2340"/>
        </w:pBdr>
        <w:spacing w:before="120" w:after="0"/>
        <w:rPr>
          <w:sz w:val="21"/>
          <w:szCs w:val="16"/>
        </w:rPr>
      </w:pPr>
    </w:p>
    <w:p w14:paraId="5556B88C" w14:textId="77777777" w:rsidR="002B5DB3" w:rsidRPr="00CD0966" w:rsidRDefault="002B5DB3" w:rsidP="002B5DB3"/>
    <w:p w14:paraId="7AF2A880" w14:textId="77777777" w:rsidR="002B5DB3" w:rsidRPr="008C54F9" w:rsidRDefault="002B5DB3" w:rsidP="002B5DB3">
      <w:pPr>
        <w:pStyle w:val="Heading1SH"/>
      </w:pPr>
      <w:r>
        <w:t>Introduction</w:t>
      </w:r>
    </w:p>
    <w:p w14:paraId="183DC602" w14:textId="033A9784" w:rsidR="00935478" w:rsidRPr="00EE0DBC" w:rsidDel="00EE0DBC" w:rsidRDefault="6C7D91D7" w:rsidP="4F483102">
      <w:pPr>
        <w:pStyle w:val="BodytextSH"/>
      </w:pPr>
      <w:r w:rsidRPr="4F483102">
        <w:t>Health services</w:t>
      </w:r>
      <w:r w:rsidR="004E4490">
        <w:t xml:space="preserve"> </w:t>
      </w:r>
      <w:r w:rsidR="000F1D80">
        <w:t xml:space="preserve">are increasingly looking for information to help them understand the National Key Performance Indicator (nKPI) and Online Services Report (OSR) data </w:t>
      </w:r>
      <w:r w:rsidR="005C057A">
        <w:t xml:space="preserve">submitted </w:t>
      </w:r>
      <w:r w:rsidR="000F1D80">
        <w:t xml:space="preserve">to the Health Data Portal. </w:t>
      </w:r>
    </w:p>
    <w:p w14:paraId="1ACBF987" w14:textId="1A71A7D7" w:rsidR="00935478" w:rsidRPr="00EE0DBC" w:rsidRDefault="00935478" w:rsidP="005E0EDC">
      <w:pPr>
        <w:pStyle w:val="BodytextSH"/>
      </w:pPr>
      <w:r w:rsidRPr="4F483102">
        <w:t xml:space="preserve">Sometimes the numbers in your </w:t>
      </w:r>
      <w:r w:rsidR="00C519D2" w:rsidRPr="4F483102">
        <w:t xml:space="preserve">nKPI/OSR </w:t>
      </w:r>
      <w:r w:rsidRPr="4F483102">
        <w:t xml:space="preserve">reports don’t </w:t>
      </w:r>
      <w:r w:rsidR="00C519D2" w:rsidRPr="4F483102">
        <w:t>reflect what</w:t>
      </w:r>
      <w:r w:rsidRPr="4F483102">
        <w:t xml:space="preserve"> you expect </w:t>
      </w:r>
      <w:r w:rsidR="000F1D80">
        <w:t xml:space="preserve">to see </w:t>
      </w:r>
      <w:r w:rsidRPr="4F483102">
        <w:t xml:space="preserve">– and it can be hard to figure out why. </w:t>
      </w:r>
      <w:r w:rsidR="002E4FF1">
        <w:t>From the suite</w:t>
      </w:r>
      <w:r w:rsidR="002B6D84">
        <w:t xml:space="preserve"> of </w:t>
      </w:r>
      <w:r w:rsidR="002E4FF1" w:rsidRPr="4F483102">
        <w:t>program documentation</w:t>
      </w:r>
      <w:r w:rsidR="002E4FF1">
        <w:t xml:space="preserve"> available, o</w:t>
      </w:r>
      <w:r w:rsidR="00F85E5F">
        <w:t xml:space="preserve">ne of the most useful resources </w:t>
      </w:r>
      <w:r w:rsidR="002E4FF1">
        <w:t xml:space="preserve">is the </w:t>
      </w:r>
      <w:r w:rsidR="00D35710">
        <w:t xml:space="preserve">user guide produced by each of the </w:t>
      </w:r>
      <w:r w:rsidRPr="4F483102">
        <w:t xml:space="preserve">Clinical Information System (CIS) </w:t>
      </w:r>
      <w:r w:rsidR="00D35710">
        <w:t>vendors:</w:t>
      </w:r>
      <w:r w:rsidR="002F7031">
        <w:t xml:space="preserve"> Best Practice, Communicare, Medical</w:t>
      </w:r>
      <w:r w:rsidR="003D4C25">
        <w:t xml:space="preserve"> </w:t>
      </w:r>
      <w:r w:rsidR="002F7031">
        <w:t>Director and MMEx.</w:t>
      </w:r>
    </w:p>
    <w:p w14:paraId="1B807870" w14:textId="0D6A3C54" w:rsidR="003E286E" w:rsidRPr="00EE0DBC" w:rsidRDefault="00935478" w:rsidP="005E0EDC">
      <w:pPr>
        <w:pStyle w:val="BodytextSH"/>
      </w:pPr>
      <w:r w:rsidRPr="193416B4">
        <w:t xml:space="preserve">Each CIS </w:t>
      </w:r>
      <w:r w:rsidR="00DE58F6">
        <w:t xml:space="preserve">user </w:t>
      </w:r>
      <w:r w:rsidRPr="193416B4">
        <w:t xml:space="preserve">guide </w:t>
      </w:r>
      <w:r w:rsidR="00D60C35">
        <w:t>outlines</w:t>
      </w:r>
      <w:r w:rsidRPr="193416B4">
        <w:t xml:space="preserve"> how the nKPI and OSR indicators</w:t>
      </w:r>
      <w:r w:rsidR="00EF1A2D" w:rsidRPr="193416B4">
        <w:t xml:space="preserve"> are calculated</w:t>
      </w:r>
      <w:r w:rsidRPr="193416B4">
        <w:t>. Th</w:t>
      </w:r>
      <w:r w:rsidR="00D35710">
        <w:t>e</w:t>
      </w:r>
      <w:r w:rsidRPr="193416B4">
        <w:t xml:space="preserve"> guides break down the logic behind the numbers</w:t>
      </w:r>
      <w:r w:rsidR="3531C249" w:rsidRPr="193416B4">
        <w:t xml:space="preserve"> and </w:t>
      </w:r>
      <w:r w:rsidR="00D60C35">
        <w:t xml:space="preserve">show </w:t>
      </w:r>
      <w:r w:rsidR="3531C249" w:rsidRPr="193416B4">
        <w:t>where data need</w:t>
      </w:r>
      <w:r w:rsidR="00D60C35">
        <w:t>s</w:t>
      </w:r>
      <w:r w:rsidR="3531C249" w:rsidRPr="193416B4">
        <w:t xml:space="preserve"> to be recorded in the CIS </w:t>
      </w:r>
      <w:r w:rsidR="00BB173A">
        <w:t xml:space="preserve">for it to be </w:t>
      </w:r>
      <w:r w:rsidR="00441C78">
        <w:t xml:space="preserve">counted in the </w:t>
      </w:r>
      <w:r w:rsidR="00D35710">
        <w:t>reports for nKPI and OSR</w:t>
      </w:r>
      <w:r w:rsidR="00A93D08">
        <w:t>.</w:t>
      </w:r>
      <w:r w:rsidRPr="193416B4">
        <w:t xml:space="preserve"> </w:t>
      </w:r>
      <w:r w:rsidR="00C11808">
        <w:t>While the</w:t>
      </w:r>
      <w:r w:rsidR="00441C78">
        <w:t xml:space="preserve"> guides</w:t>
      </w:r>
      <w:r w:rsidR="00C11808">
        <w:t xml:space="preserve"> may not answer every question, they’re a valuable starting point</w:t>
      </w:r>
      <w:r w:rsidRPr="193416B4">
        <w:t xml:space="preserve"> </w:t>
      </w:r>
      <w:r w:rsidR="00D35710">
        <w:t xml:space="preserve">to </w:t>
      </w:r>
      <w:r w:rsidRPr="193416B4">
        <w:t xml:space="preserve">troubleshoot results or understand the </w:t>
      </w:r>
      <w:r w:rsidR="00D35710">
        <w:t xml:space="preserve">reported </w:t>
      </w:r>
      <w:r w:rsidRPr="193416B4">
        <w:t>data better.</w:t>
      </w:r>
    </w:p>
    <w:p w14:paraId="01CB48BF" w14:textId="2A6F5E92" w:rsidR="002B5DB3" w:rsidRDefault="00441C78" w:rsidP="306DF0CC">
      <w:pPr>
        <w:pStyle w:val="BodytextSH"/>
      </w:pPr>
      <w:r>
        <w:t xml:space="preserve">This article </w:t>
      </w:r>
      <w:r w:rsidR="00445B34">
        <w:t xml:space="preserve">explains where to find the </w:t>
      </w:r>
      <w:r w:rsidR="00487165">
        <w:t xml:space="preserve">current </w:t>
      </w:r>
      <w:r w:rsidR="00445B34">
        <w:t xml:space="preserve">user guide for </w:t>
      </w:r>
      <w:r w:rsidR="00810E45">
        <w:t xml:space="preserve">your organisation’s </w:t>
      </w:r>
      <w:r w:rsidR="00445B34">
        <w:t xml:space="preserve">CIS and some practical tips for </w:t>
      </w:r>
      <w:r w:rsidR="00487165">
        <w:t xml:space="preserve">using </w:t>
      </w:r>
      <w:r w:rsidR="00810E45">
        <w:t>it</w:t>
      </w:r>
      <w:r w:rsidR="00487165">
        <w:t xml:space="preserve">. </w:t>
      </w:r>
      <w:r w:rsidR="00F64E68">
        <w:t>A</w:t>
      </w:r>
      <w:r w:rsidR="006C39CB" w:rsidRPr="306DF0CC">
        <w:rPr>
          <w:rFonts w:cs="Arial"/>
        </w:rPr>
        <w:t xml:space="preserve">lways check to make sure you’re using the </w:t>
      </w:r>
      <w:r w:rsidR="00AF30F4" w:rsidRPr="306DF0CC">
        <w:rPr>
          <w:rFonts w:cs="Arial"/>
        </w:rPr>
        <w:t>most recent</w:t>
      </w:r>
      <w:r w:rsidR="006C39CB" w:rsidRPr="306DF0CC">
        <w:rPr>
          <w:rFonts w:cs="Arial"/>
        </w:rPr>
        <w:t xml:space="preserve"> version</w:t>
      </w:r>
      <w:r w:rsidR="00F64E68">
        <w:rPr>
          <w:rFonts w:cs="Arial"/>
        </w:rPr>
        <w:t xml:space="preserve">, as the </w:t>
      </w:r>
      <w:r w:rsidR="00D35710">
        <w:t>u</w:t>
      </w:r>
      <w:r w:rsidR="00F64E68">
        <w:t xml:space="preserve">ser </w:t>
      </w:r>
      <w:r w:rsidR="00D35710">
        <w:t>g</w:t>
      </w:r>
      <w:r w:rsidR="00F64E68">
        <w:t>uide content does change over time</w:t>
      </w:r>
      <w:r w:rsidR="006C39CB">
        <w:t>.</w:t>
      </w:r>
    </w:p>
    <w:p w14:paraId="4E00FA67" w14:textId="11287440" w:rsidR="002B5DB3" w:rsidRDefault="002B5DB3" w:rsidP="002B5DB3">
      <w:pPr>
        <w:pStyle w:val="Heading1SH"/>
      </w:pPr>
      <w:r>
        <w:t>Wh</w:t>
      </w:r>
      <w:r w:rsidR="00F33D17">
        <w:t>ere to find your CIS</w:t>
      </w:r>
      <w:r w:rsidR="004675F1">
        <w:t xml:space="preserve"> User Guide</w:t>
      </w:r>
    </w:p>
    <w:p w14:paraId="26F4A118" w14:textId="7F2F45DA" w:rsidR="004675F1" w:rsidRDefault="004675F1" w:rsidP="004675F1">
      <w:pPr>
        <w:pStyle w:val="SubheadingSH"/>
      </w:pPr>
      <w:r>
        <w:t>Best Practice</w:t>
      </w:r>
    </w:p>
    <w:p w14:paraId="3A5D7BEB" w14:textId="3D0A0628" w:rsidR="004675F1" w:rsidRDefault="00E67879" w:rsidP="005E0EDC">
      <w:pPr>
        <w:pStyle w:val="BodytextSH"/>
      </w:pPr>
      <w:r>
        <w:t>The ‘</w:t>
      </w:r>
      <w:r w:rsidRPr="00E67879">
        <w:rPr>
          <w:i/>
          <w:iCs/>
        </w:rPr>
        <w:t>Bp Premier nKPI and Field Mappings</w:t>
      </w:r>
      <w:r>
        <w:rPr>
          <w:i/>
          <w:iCs/>
        </w:rPr>
        <w:t xml:space="preserve">’ </w:t>
      </w:r>
      <w:r>
        <w:t>document</w:t>
      </w:r>
      <w:r w:rsidRPr="00E67879">
        <w:t xml:space="preserve"> is</w:t>
      </w:r>
      <w:r>
        <w:rPr>
          <w:i/>
          <w:iCs/>
        </w:rPr>
        <w:t xml:space="preserve"> </w:t>
      </w:r>
      <w:r>
        <w:t xml:space="preserve">Best Practice’s user guide for the </w:t>
      </w:r>
      <w:r w:rsidRPr="00D35710">
        <w:rPr>
          <w:i/>
          <w:iCs/>
        </w:rPr>
        <w:t>Bp Premier Reporting Tool</w:t>
      </w:r>
      <w:r>
        <w:t xml:space="preserve">; it’s </w:t>
      </w:r>
      <w:r w:rsidR="00220F36">
        <w:t xml:space="preserve">a </w:t>
      </w:r>
      <w:r>
        <w:t>m</w:t>
      </w:r>
      <w:r w:rsidR="00220F36" w:rsidRPr="00E67879">
        <w:t xml:space="preserve">apping </w:t>
      </w:r>
      <w:r>
        <w:t>r</w:t>
      </w:r>
      <w:r w:rsidR="00220F36" w:rsidRPr="00E67879">
        <w:t>eference</w:t>
      </w:r>
      <w:r w:rsidR="00BA7DDA">
        <w:t xml:space="preserve"> document</w:t>
      </w:r>
      <w:r w:rsidR="00A95AC1">
        <w:t xml:space="preserve"> </w:t>
      </w:r>
      <w:r w:rsidR="00EB7C41">
        <w:t xml:space="preserve">that </w:t>
      </w:r>
      <w:r w:rsidR="00F31C29">
        <w:t xml:space="preserve">includes </w:t>
      </w:r>
      <w:r w:rsidR="00EB7C41">
        <w:t xml:space="preserve">both the nKPI and OSR. </w:t>
      </w:r>
      <w:r w:rsidR="004E295B">
        <w:t>The most current version</w:t>
      </w:r>
      <w:r w:rsidR="00EB7C41">
        <w:t xml:space="preserve"> </w:t>
      </w:r>
      <w:r w:rsidR="00BF530E">
        <w:t xml:space="preserve">is accessed </w:t>
      </w:r>
      <w:r>
        <w:t>at</w:t>
      </w:r>
      <w:r w:rsidR="00BF530E">
        <w:t xml:space="preserve"> the following </w:t>
      </w:r>
      <w:r w:rsidR="004E295B">
        <w:t xml:space="preserve">persistent </w:t>
      </w:r>
      <w:r w:rsidR="00BF530E">
        <w:t>link</w:t>
      </w:r>
      <w:r w:rsidR="00EB7C41">
        <w:t xml:space="preserve">: </w:t>
      </w:r>
      <w:hyperlink r:id="rId12" w:history="1">
        <w:r w:rsidR="00703A3F" w:rsidRPr="00703A3F">
          <w:rPr>
            <w:rStyle w:val="Hyperlink"/>
          </w:rPr>
          <w:t>https://kb.bpsoftware.net/docs/BpPremier_OSRandnKPIMappingsReference.pdf</w:t>
        </w:r>
      </w:hyperlink>
      <w:r>
        <w:t>,</w:t>
      </w:r>
      <w:r w:rsidR="27C9E1D6">
        <w:t xml:space="preserve"> </w:t>
      </w:r>
      <w:r w:rsidR="00D35710">
        <w:t>or you</w:t>
      </w:r>
      <w:r>
        <w:t>’ll find a link</w:t>
      </w:r>
      <w:r w:rsidR="00D35710">
        <w:t xml:space="preserve"> on</w:t>
      </w:r>
      <w:r w:rsidR="27C9E1D6">
        <w:t xml:space="preserve"> the Solving Health website </w:t>
      </w:r>
      <w:r>
        <w:t>on the Specifications page (refer to the Resources section of this article).</w:t>
      </w:r>
    </w:p>
    <w:p w14:paraId="32A603FD" w14:textId="0EA82710" w:rsidR="00703A3F" w:rsidRDefault="00A36A6B" w:rsidP="005E0EDC">
      <w:pPr>
        <w:pStyle w:val="BodytextSH"/>
      </w:pPr>
      <w:r>
        <w:t xml:space="preserve">Updated versions of </w:t>
      </w:r>
      <w:r w:rsidR="000A5869">
        <w:t>t</w:t>
      </w:r>
      <w:r w:rsidR="00AF30F4">
        <w:t>h</w:t>
      </w:r>
      <w:r w:rsidR="00444293">
        <w:t>is</w:t>
      </w:r>
      <w:r w:rsidR="006F7271">
        <w:t xml:space="preserve"> </w:t>
      </w:r>
      <w:r w:rsidR="00BD53C9">
        <w:t xml:space="preserve">user </w:t>
      </w:r>
      <w:r w:rsidR="006F7271">
        <w:t xml:space="preserve">guide </w:t>
      </w:r>
      <w:r w:rsidR="000A5869">
        <w:t xml:space="preserve">are published </w:t>
      </w:r>
      <w:r w:rsidR="00E67879">
        <w:t>using</w:t>
      </w:r>
      <w:r w:rsidR="006F7271">
        <w:t xml:space="preserve"> the same link so you’ll always be looking at the most up-to-date information.</w:t>
      </w:r>
    </w:p>
    <w:p w14:paraId="7F8606D3" w14:textId="0A6CAB5B" w:rsidR="00244E41" w:rsidRDefault="00244E41" w:rsidP="00244E41">
      <w:pPr>
        <w:pStyle w:val="SubheadingSH"/>
      </w:pPr>
      <w:r>
        <w:lastRenderedPageBreak/>
        <w:t>Communicare</w:t>
      </w:r>
    </w:p>
    <w:p w14:paraId="663A71C8" w14:textId="62D7C8CD" w:rsidR="00A0218E" w:rsidRDefault="00C00A57" w:rsidP="00A0218E">
      <w:pPr>
        <w:pStyle w:val="BodytextSH"/>
      </w:pPr>
      <w:r w:rsidRPr="005E0EDC">
        <w:t xml:space="preserve">Communicare </w:t>
      </w:r>
      <w:r w:rsidR="0056675B" w:rsidRPr="005E0EDC">
        <w:t xml:space="preserve">doesn’t have a single </w:t>
      </w:r>
      <w:r w:rsidR="007503B6">
        <w:t xml:space="preserve">document for its </w:t>
      </w:r>
      <w:r w:rsidR="0056675B" w:rsidRPr="005E0EDC">
        <w:t>user guide, but the information is available across a series of pages in the</w:t>
      </w:r>
      <w:r w:rsidR="007503B6">
        <w:t xml:space="preserve"> Communicare</w:t>
      </w:r>
      <w:r w:rsidR="0056675B" w:rsidRPr="005E0EDC">
        <w:t xml:space="preserve"> Knowledge Centre. </w:t>
      </w:r>
      <w:r w:rsidR="00A0218E" w:rsidRPr="00743EA5">
        <w:t xml:space="preserve">The link to the Knowledge Centre is available via the customer portal under </w:t>
      </w:r>
      <w:r w:rsidR="00A0218E" w:rsidRPr="00743EA5">
        <w:rPr>
          <w:b/>
          <w:bCs/>
        </w:rPr>
        <w:t>Help and Support</w:t>
      </w:r>
      <w:r w:rsidR="00A0218E" w:rsidRPr="003C69B5">
        <w:rPr>
          <w:b/>
          <w:bCs/>
        </w:rPr>
        <w:t>.</w:t>
      </w:r>
      <w:r w:rsidR="00A0218E" w:rsidRPr="00B209B2">
        <w:t xml:space="preserve"> </w:t>
      </w:r>
    </w:p>
    <w:p w14:paraId="06DB679C" w14:textId="160B6573" w:rsidR="00AE72F2" w:rsidRPr="00743EA5" w:rsidRDefault="0056675B" w:rsidP="00D35710">
      <w:pPr>
        <w:pStyle w:val="BodytextSH"/>
      </w:pPr>
      <w:r w:rsidRPr="005E0EDC">
        <w:t>These pages explain how the nKPI and OSR indicators are calculated and can be accessed individually as needed.</w:t>
      </w:r>
      <w:r w:rsidR="00972629">
        <w:t xml:space="preserve"> </w:t>
      </w:r>
      <w:r w:rsidR="00AE72F2" w:rsidRPr="00743EA5">
        <w:t>To make sure you're always using the most up-to-date information, it’s best to access the content directly through the Knowledge Centre.</w:t>
      </w:r>
      <w:r w:rsidR="009B2640" w:rsidRPr="00743EA5">
        <w:t xml:space="preserve"> </w:t>
      </w:r>
      <w:r w:rsidR="00AE72F2" w:rsidRPr="00743EA5">
        <w:t>You can find it by going to:</w:t>
      </w:r>
      <w:r w:rsidR="00AE72F2" w:rsidRPr="00743EA5">
        <w:br/>
      </w:r>
      <w:r w:rsidR="00AE72F2" w:rsidRPr="00743EA5">
        <w:rPr>
          <w:b/>
          <w:bCs/>
        </w:rPr>
        <w:t>Knowledge Centre &gt; Integrations &gt; Key Performance Indicators &gt; National Key Performance Indicators</w:t>
      </w:r>
      <w:r w:rsidR="00AE72F2" w:rsidRPr="00743EA5">
        <w:t xml:space="preserve">, then select either </w:t>
      </w:r>
      <w:r w:rsidR="00AE72F2" w:rsidRPr="00743EA5">
        <w:rPr>
          <w:b/>
          <w:bCs/>
        </w:rPr>
        <w:t>nKPI Summary</w:t>
      </w:r>
      <w:r w:rsidR="00AE72F2" w:rsidRPr="00D35710">
        <w:rPr>
          <w:b/>
          <w:bCs/>
        </w:rPr>
        <w:t xml:space="preserve"> </w:t>
      </w:r>
      <w:r w:rsidR="00AE72F2" w:rsidRPr="00743EA5">
        <w:t xml:space="preserve">or </w:t>
      </w:r>
      <w:r w:rsidR="00AE72F2" w:rsidRPr="00743EA5">
        <w:rPr>
          <w:b/>
          <w:bCs/>
        </w:rPr>
        <w:t>OSR Summary</w:t>
      </w:r>
      <w:r w:rsidR="009B2640" w:rsidRPr="00743EA5">
        <w:t xml:space="preserve"> – </w:t>
      </w:r>
      <w:r w:rsidR="00AE72F2" w:rsidRPr="00743EA5">
        <w:t xml:space="preserve">depending on what you’re </w:t>
      </w:r>
      <w:r w:rsidR="00743EA5">
        <w:t>looking for</w:t>
      </w:r>
      <w:r w:rsidR="00AE72F2" w:rsidRPr="00743EA5">
        <w:t>.</w:t>
      </w:r>
    </w:p>
    <w:p w14:paraId="2A228F42" w14:textId="34BC0F00" w:rsidR="00AE72F2" w:rsidRPr="00743EA5" w:rsidRDefault="00B209B2" w:rsidP="00D35710">
      <w:pPr>
        <w:pStyle w:val="BodytextSH"/>
      </w:pPr>
      <w:r>
        <w:t xml:space="preserve">Note. </w:t>
      </w:r>
      <w:r w:rsidRPr="00743EA5">
        <w:t>Please ensure the Knowledge Centre version matches your Communicare software.</w:t>
      </w:r>
      <w:r w:rsidRPr="00B209B2">
        <w:t xml:space="preserve"> </w:t>
      </w:r>
    </w:p>
    <w:p w14:paraId="015BCB71" w14:textId="77777777" w:rsidR="00BD7F1B" w:rsidRDefault="00295D84" w:rsidP="00BA071A">
      <w:pPr>
        <w:pStyle w:val="SubheadingSH"/>
      </w:pPr>
      <w:r>
        <w:t>Medical Director</w:t>
      </w:r>
    </w:p>
    <w:p w14:paraId="19C7D92A" w14:textId="7AA83E60" w:rsidR="00304E40" w:rsidRPr="00F06E1D" w:rsidRDefault="3D0F1FD9" w:rsidP="00D35710">
      <w:pPr>
        <w:pStyle w:val="BodytextSH"/>
      </w:pPr>
      <w:r>
        <w:t xml:space="preserve">Medical Director’s nKPI and OSR user guides </w:t>
      </w:r>
      <w:r w:rsidR="00902026">
        <w:t xml:space="preserve">(called </w:t>
      </w:r>
      <w:r w:rsidR="00902026" w:rsidRPr="00D35710">
        <w:rPr>
          <w:i/>
          <w:iCs/>
        </w:rPr>
        <w:t>Technical Documentation</w:t>
      </w:r>
      <w:r w:rsidR="00902026">
        <w:t xml:space="preserve">) </w:t>
      </w:r>
      <w:r>
        <w:t>are in a temporary location whilst MD help is migrated to a new platform.</w:t>
      </w:r>
    </w:p>
    <w:p w14:paraId="255A91A8" w14:textId="482511AB" w:rsidR="00076D02" w:rsidRDefault="00554F54" w:rsidP="00D35710">
      <w:pPr>
        <w:pStyle w:val="BodytextSH"/>
        <w:rPr>
          <w:bdr w:val="none" w:sz="0" w:space="0" w:color="auto" w:frame="1"/>
        </w:rPr>
      </w:pPr>
      <w:r w:rsidRPr="00F06E1D">
        <w:t xml:space="preserve">Here </w:t>
      </w:r>
      <w:r w:rsidR="006F45F4">
        <w:t>is</w:t>
      </w:r>
      <w:r w:rsidR="00065E41" w:rsidRPr="00F06E1D">
        <w:t xml:space="preserve"> the </w:t>
      </w:r>
      <w:r w:rsidR="00AA2E01" w:rsidRPr="00F06E1D">
        <w:t>link</w:t>
      </w:r>
      <w:r w:rsidR="006F45F4">
        <w:t xml:space="preserve"> to locate the technical documentation updated</w:t>
      </w:r>
      <w:r w:rsidR="00412806" w:rsidRPr="00F06E1D">
        <w:t xml:space="preserve"> </w:t>
      </w:r>
      <w:r w:rsidR="00AA2E01" w:rsidRPr="00F06E1D">
        <w:t xml:space="preserve">for </w:t>
      </w:r>
      <w:r w:rsidR="00412806" w:rsidRPr="00F06E1D">
        <w:t>the J</w:t>
      </w:r>
      <w:r w:rsidR="006F45F4">
        <w:t>uly</w:t>
      </w:r>
      <w:r w:rsidR="00412806" w:rsidRPr="00F06E1D">
        <w:t xml:space="preserve"> 2025 reporting </w:t>
      </w:r>
      <w:r w:rsidR="00AA2E01" w:rsidRPr="00F06E1D">
        <w:t>round</w:t>
      </w:r>
      <w:r w:rsidR="00B65E51" w:rsidRPr="00F06E1D">
        <w:t>:</w:t>
      </w:r>
    </w:p>
    <w:p w14:paraId="06493EDC" w14:textId="15E2D839" w:rsidR="008C567F" w:rsidRDefault="00B65E51" w:rsidP="00D35710">
      <w:pPr>
        <w:pStyle w:val="BulletSH"/>
      </w:pPr>
      <w:r w:rsidRPr="00D35710">
        <w:t>nKPI</w:t>
      </w:r>
      <w:r w:rsidR="001D651A" w:rsidRPr="00D35710">
        <w:t xml:space="preserve"> </w:t>
      </w:r>
      <w:r w:rsidR="00355AC6">
        <w:t xml:space="preserve">and OSR </w:t>
      </w:r>
      <w:r w:rsidR="001D651A" w:rsidRPr="00D35710">
        <w:t>Technical Documentation</w:t>
      </w:r>
      <w:r w:rsidR="00355AC6">
        <w:t xml:space="preserve"> links are on the </w:t>
      </w:r>
      <w:r w:rsidR="008C567F">
        <w:t>right-hand</w:t>
      </w:r>
      <w:r w:rsidR="00355AC6">
        <w:t xml:space="preserve"> side of this page</w:t>
      </w:r>
      <w:r w:rsidR="001E15FF">
        <w:t xml:space="preserve"> with the release notes for the MD Insights vers</w:t>
      </w:r>
      <w:r w:rsidR="008C567F">
        <w:t>ion 1.9.2</w:t>
      </w:r>
      <w:r w:rsidRPr="00D35710">
        <w:t>: </w:t>
      </w:r>
    </w:p>
    <w:p w14:paraId="28AD0731" w14:textId="79EC193B" w:rsidR="00B65E51" w:rsidRPr="00D35710" w:rsidRDefault="008C567F" w:rsidP="008C567F">
      <w:pPr>
        <w:pStyle w:val="BulletSH"/>
        <w:numPr>
          <w:ilvl w:val="0"/>
          <w:numId w:val="0"/>
        </w:numPr>
        <w:ind w:left="360"/>
      </w:pPr>
      <w:hyperlink r:id="rId13" w:history="1">
        <w:r w:rsidRPr="00536712">
          <w:rPr>
            <w:rStyle w:val="Hyperlink"/>
          </w:rPr>
          <w:t>https://www.medicaldirector.com/support/product-updates/clinical/medicaldirector-insights-1-9-2-update</w:t>
        </w:r>
      </w:hyperlink>
      <w:r w:rsidR="00355AC6">
        <w:t xml:space="preserve"> </w:t>
      </w:r>
      <w:r w:rsidR="00544313">
        <w:t xml:space="preserve"> </w:t>
      </w:r>
    </w:p>
    <w:p w14:paraId="1A3619CD" w14:textId="3B1746A8" w:rsidR="00996E5C" w:rsidRPr="006F22B7" w:rsidRDefault="005A1218" w:rsidP="00D35710">
      <w:pPr>
        <w:pStyle w:val="BodytextSH"/>
      </w:pPr>
      <w:r w:rsidRPr="006F22B7">
        <w:t>L</w:t>
      </w:r>
      <w:r w:rsidR="00996E5C" w:rsidRPr="006F22B7">
        <w:t xml:space="preserve">inks </w:t>
      </w:r>
      <w:r w:rsidRPr="006F22B7">
        <w:t>to current documentation ar</w:t>
      </w:r>
      <w:r w:rsidR="006F22B7" w:rsidRPr="006F22B7">
        <w:t>e</w:t>
      </w:r>
      <w:r w:rsidR="00996E5C" w:rsidRPr="006F22B7">
        <w:t xml:space="preserve"> also </w:t>
      </w:r>
      <w:r w:rsidR="006F22B7" w:rsidRPr="006F22B7">
        <w:t xml:space="preserve">maintained </w:t>
      </w:r>
      <w:r w:rsidR="00996E5C" w:rsidRPr="006F22B7">
        <w:t xml:space="preserve">on the Solving Health website </w:t>
      </w:r>
      <w:r w:rsidR="00E67879">
        <w:t>(refer to the Resources section of this article).</w:t>
      </w:r>
    </w:p>
    <w:p w14:paraId="66D7522C" w14:textId="27DA576D" w:rsidR="003729C7" w:rsidRDefault="00B65E51" w:rsidP="00B65E51">
      <w:pPr>
        <w:pStyle w:val="SubheadingSH"/>
      </w:pPr>
      <w:r>
        <w:t>MMEx</w:t>
      </w:r>
    </w:p>
    <w:p w14:paraId="58EFDF0B" w14:textId="36E2F733" w:rsidR="00D7453E" w:rsidRPr="00544313" w:rsidRDefault="003A217C" w:rsidP="00D35710">
      <w:pPr>
        <w:pStyle w:val="BodytextSH"/>
      </w:pPr>
      <w:r w:rsidRPr="005E0EDC">
        <w:t>MMEx shares their user guides</w:t>
      </w:r>
      <w:r w:rsidR="00B21EB7">
        <w:t xml:space="preserve">, referred to as </w:t>
      </w:r>
      <w:r w:rsidRPr="005E0EDC">
        <w:rPr>
          <w:rStyle w:val="Emphasis"/>
          <w:rFonts w:cs="Arial"/>
          <w:szCs w:val="22"/>
        </w:rPr>
        <w:t>Data Mapping Documents</w:t>
      </w:r>
      <w:r w:rsidR="00B21EB7">
        <w:t>,</w:t>
      </w:r>
      <w:r w:rsidRPr="005E0EDC">
        <w:t xml:space="preserve"> in their online User Manual, which you can find here: </w:t>
      </w:r>
      <w:hyperlink r:id="rId14" w:history="1">
        <w:r w:rsidR="00544313" w:rsidRPr="00544313">
          <w:rPr>
            <w:rStyle w:val="Hyperlink"/>
          </w:rPr>
          <w:t>https://manual.mmex.net.au/manual:nkpiandosr</w:t>
        </w:r>
      </w:hyperlink>
      <w:r w:rsidRPr="00544313">
        <w:t>.</w:t>
      </w:r>
    </w:p>
    <w:p w14:paraId="2B21B7E1" w14:textId="6E53D6DE" w:rsidR="00AC56F0" w:rsidRDefault="00AF30F4" w:rsidP="00CB14C6">
      <w:pPr>
        <w:pStyle w:val="BodytextSH"/>
      </w:pPr>
      <w:r>
        <w:t>Updated versions of the user guide are published at the same link, so you’ll always be looking at the most up-to-date information</w:t>
      </w:r>
      <w:r w:rsidR="003A217C" w:rsidRPr="005E0EDC">
        <w:t>.</w:t>
      </w:r>
    </w:p>
    <w:p w14:paraId="18D638D6" w14:textId="7C90E0D4" w:rsidR="00AC56F0" w:rsidRDefault="00AC56F0" w:rsidP="00AC56F0">
      <w:pPr>
        <w:pStyle w:val="Heading1SH"/>
      </w:pPr>
      <w:r>
        <w:t>Tips for using the CIS user guides</w:t>
      </w:r>
    </w:p>
    <w:p w14:paraId="6AFC4CC7" w14:textId="56138949" w:rsidR="00AC56F0" w:rsidRDefault="003F75F0" w:rsidP="005E0EDC">
      <w:pPr>
        <w:pStyle w:val="BodytextSH"/>
      </w:pPr>
      <w:r>
        <w:t>Each user guide is structured a little differently, but most include several key sections to help you understand how the data is being pulled and calculated:</w:t>
      </w:r>
    </w:p>
    <w:p w14:paraId="16C86DE5" w14:textId="3233D9BC" w:rsidR="67BD2AAB" w:rsidRDefault="67BD2AAB" w:rsidP="1C63CF26">
      <w:pPr>
        <w:pStyle w:val="BodytextSH"/>
        <w:numPr>
          <w:ilvl w:val="0"/>
          <w:numId w:val="1"/>
        </w:numPr>
      </w:pPr>
      <w:r>
        <w:t>Foundation</w:t>
      </w:r>
      <w:r w:rsidR="003F75F0">
        <w:t>al</w:t>
      </w:r>
      <w:r>
        <w:t xml:space="preserve"> elements – </w:t>
      </w:r>
      <w:r w:rsidR="0001217A">
        <w:t>These cover the core rules used across indicators, such as how Indigenous status is determined or how a regular client is defined.</w:t>
      </w:r>
    </w:p>
    <w:p w14:paraId="305CD6BF" w14:textId="1E7B2105" w:rsidR="67BD2AAB" w:rsidRDefault="00EE43DE" w:rsidP="1C63CF26">
      <w:pPr>
        <w:pStyle w:val="BodytextSH"/>
        <w:numPr>
          <w:ilvl w:val="0"/>
          <w:numId w:val="1"/>
        </w:numPr>
      </w:pPr>
      <w:r>
        <w:t>Indicator-specific logic</w:t>
      </w:r>
      <w:r w:rsidR="6612F570">
        <w:t xml:space="preserve"> – </w:t>
      </w:r>
      <w:r w:rsidR="00CF1A03">
        <w:t>This section explains how data for each individual indicator is calculated. For example, it might describe how pathology results are counted or what counts as a completed health check. It may also show which specific parts of the CIS the data is being drawn from.</w:t>
      </w:r>
    </w:p>
    <w:p w14:paraId="15B28F98" w14:textId="0FB200A6" w:rsidR="782179F3" w:rsidRDefault="782179F3" w:rsidP="1C63CF26">
      <w:pPr>
        <w:pStyle w:val="BodytextSH"/>
        <w:numPr>
          <w:ilvl w:val="0"/>
          <w:numId w:val="1"/>
        </w:numPr>
      </w:pPr>
      <w:r>
        <w:t xml:space="preserve">Data definitions – </w:t>
      </w:r>
      <w:r w:rsidR="006F2667">
        <w:t xml:space="preserve">These define which conditions or data points are included in particular cohorts. For instance, this might detail what’s included under type 2 diabetes for </w:t>
      </w:r>
      <w:r w:rsidR="00FB5929">
        <w:t xml:space="preserve">nKPI </w:t>
      </w:r>
      <w:r w:rsidR="006F2667">
        <w:t>reporting.</w:t>
      </w:r>
    </w:p>
    <w:p w14:paraId="2C940B59" w14:textId="3F116116" w:rsidR="00AB5AD3" w:rsidRDefault="001F1A0F" w:rsidP="1C63CF26">
      <w:pPr>
        <w:pStyle w:val="BodytextSH"/>
      </w:pPr>
      <w:r>
        <w:t xml:space="preserve">To troubleshoot or better understand your reports, you’ll often need to look at more than one section of the guide. Some indicators are more complex than others, and for these, there </w:t>
      </w:r>
      <w:r>
        <w:lastRenderedPageBreak/>
        <w:t>may be additional guidance or dedicated articles available</w:t>
      </w:r>
      <w:r w:rsidR="009467F8">
        <w:t xml:space="preserve"> – </w:t>
      </w:r>
      <w:r>
        <w:t xml:space="preserve">such as for PI26 (ear health checks), which has some extra </w:t>
      </w:r>
      <w:r w:rsidR="003D4EF4">
        <w:t>steps</w:t>
      </w:r>
      <w:r>
        <w:t xml:space="preserve"> to help navigate the data.</w:t>
      </w:r>
    </w:p>
    <w:p w14:paraId="68AC9AC9" w14:textId="3884C377" w:rsidR="00AB5AD3" w:rsidRDefault="00AB5AD3" w:rsidP="1C63CF26">
      <w:pPr>
        <w:pStyle w:val="BodytextSH"/>
      </w:pPr>
    </w:p>
    <w:p w14:paraId="0C313D21" w14:textId="78C3B68D" w:rsidR="13FA44C2" w:rsidRDefault="007F433D" w:rsidP="1C63CF26">
      <w:pPr>
        <w:pStyle w:val="BodytextS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8CFA85" wp14:editId="073F3144">
                <wp:simplePos x="0" y="0"/>
                <wp:positionH relativeFrom="margin">
                  <wp:posOffset>-635</wp:posOffset>
                </wp:positionH>
                <wp:positionV relativeFrom="paragraph">
                  <wp:posOffset>13335</wp:posOffset>
                </wp:positionV>
                <wp:extent cx="5544185" cy="2002155"/>
                <wp:effectExtent l="0" t="0" r="18415" b="17145"/>
                <wp:wrapNone/>
                <wp:docPr id="19288263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185" cy="2002155"/>
                        </a:xfrm>
                        <a:prstGeom prst="roundRect">
                          <a:avLst/>
                        </a:prstGeom>
                        <a:solidFill>
                          <a:srgbClr val="CCEDEB"/>
                        </a:solidFill>
                        <a:ln w="6350">
                          <a:solidFill>
                            <a:srgbClr val="1AA4A0"/>
                          </a:solidFill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3DB29F26" w14:textId="195E0B4C" w:rsidR="00AB5AD3" w:rsidRPr="004F3C01" w:rsidRDefault="00AB5AD3" w:rsidP="00D35710">
                            <w:pPr>
                              <w:pStyle w:val="Bodytext-emhasisSH"/>
                            </w:pPr>
                            <w:r w:rsidRPr="00B617C9">
                              <w:t>Key takeaway</w:t>
                            </w:r>
                            <w:r w:rsidRPr="004F3C01">
                              <w:t>s:</w:t>
                            </w:r>
                          </w:p>
                          <w:p w14:paraId="0920C50B" w14:textId="670A724A" w:rsidR="004A5074" w:rsidRDefault="00C0097C" w:rsidP="006A4087">
                            <w:pPr>
                              <w:pStyle w:val="BodytextSH"/>
                            </w:pPr>
                            <w:r w:rsidRPr="004A5074">
                              <w:t>For a client to be counted in an indicator they must have</w:t>
                            </w:r>
                            <w:r w:rsidR="00A653BF">
                              <w:t xml:space="preserve"> specific data recorded</w:t>
                            </w:r>
                            <w:r w:rsidR="005937A2">
                              <w:t xml:space="preserve"> for each of the following</w:t>
                            </w:r>
                            <w:r w:rsidR="004A5074">
                              <w:t>:</w:t>
                            </w:r>
                            <w:r w:rsidRPr="004A5074">
                              <w:t xml:space="preserve"> </w:t>
                            </w:r>
                          </w:p>
                          <w:p w14:paraId="40C206A2" w14:textId="48BC7290" w:rsidR="00AB5AD3" w:rsidRDefault="004A5074" w:rsidP="00B617C9">
                            <w:pPr>
                              <w:pStyle w:val="Numberedlist-SH"/>
                            </w:pPr>
                            <w:r>
                              <w:t>T</w:t>
                            </w:r>
                            <w:r w:rsidR="00C0097C" w:rsidRPr="004A5074">
                              <w:t>he relevant foundational element</w:t>
                            </w:r>
                            <w:r w:rsidR="00A653BF">
                              <w:t>s</w:t>
                            </w:r>
                            <w:r w:rsidR="00C0097C" w:rsidRPr="004A5074">
                              <w:t>. For example</w:t>
                            </w:r>
                            <w:r w:rsidR="00A653BF">
                              <w:t>,</w:t>
                            </w:r>
                            <w:r w:rsidR="00C0097C" w:rsidRPr="004A5074">
                              <w:t xml:space="preserve"> in most of the nKPIs, clients must be </w:t>
                            </w:r>
                            <w:r w:rsidR="00F144A7" w:rsidRPr="004A5074">
                              <w:t xml:space="preserve">Indigenous, </w:t>
                            </w:r>
                            <w:r w:rsidRPr="004A5074">
                              <w:t xml:space="preserve">have sufficient valid visit types to be counted as </w:t>
                            </w:r>
                            <w:r w:rsidR="00F144A7" w:rsidRPr="004A5074">
                              <w:t xml:space="preserve">a </w:t>
                            </w:r>
                            <w:r w:rsidR="00C0097C" w:rsidRPr="004A5074">
                              <w:t xml:space="preserve">regular client, </w:t>
                            </w:r>
                            <w:r w:rsidR="00F144A7" w:rsidRPr="004A5074">
                              <w:t>male or female</w:t>
                            </w:r>
                            <w:r w:rsidRPr="004A5074">
                              <w:t>, and have their age recorded.</w:t>
                            </w:r>
                          </w:p>
                          <w:p w14:paraId="7E7A9994" w14:textId="47E425E6" w:rsidR="004A5074" w:rsidRPr="004A5074" w:rsidRDefault="00B047BB" w:rsidP="00D35710">
                            <w:pPr>
                              <w:pStyle w:val="Numberedlist-SH"/>
                            </w:pPr>
                            <w:r>
                              <w:t xml:space="preserve">Specific data </w:t>
                            </w:r>
                            <w:r w:rsidR="00A653BF">
                              <w:t xml:space="preserve">relevant </w:t>
                            </w:r>
                            <w:r>
                              <w:t xml:space="preserve">to the </w:t>
                            </w:r>
                            <w:r w:rsidR="00A653BF">
                              <w:t>indicator. For example,</w:t>
                            </w:r>
                            <w:r w:rsidR="008E64DB">
                              <w:t xml:space="preserve"> in PI12 ‘Body Mass Index</w:t>
                            </w:r>
                            <w:r w:rsidR="00D0662D">
                              <w:t>’ (BMI)</w:t>
                            </w:r>
                            <w:r w:rsidR="008E64DB">
                              <w:t xml:space="preserve">, </w:t>
                            </w:r>
                            <w:r w:rsidR="00505B90">
                              <w:t xml:space="preserve">the client must </w:t>
                            </w:r>
                            <w:r w:rsidR="00EE3B31">
                              <w:t>h</w:t>
                            </w:r>
                            <w:r w:rsidR="00D0662D">
                              <w:t xml:space="preserve">ave a BMI recorded </w:t>
                            </w:r>
                            <w:r w:rsidR="006A4087">
                              <w:t>in the last 24 months.</w:t>
                            </w:r>
                            <w:r w:rsidR="00EE3B3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CFA85" id="Text Box 1" o:spid="_x0000_s1026" style="position:absolute;margin-left:-.05pt;margin-top:1.05pt;width:436.55pt;height:157.6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" fillcolor="#ccedeb" strokecolor="#1aa4a0" strokeweight=".5pt">
                <v:textbox>
                  <w:txbxContent>
                    <w:p w14:paraId="3DB29F26" w14:textId="195E0B4C" w:rsidR="00AB5AD3" w:rsidRPr="004F3C01" w:rsidRDefault="00AB5AD3" w:rsidP="00D35710">
                      <w:pPr>
                        <w:pStyle w:val="Bodytext-emhasisSH"/>
                      </w:pPr>
                      <w:r w:rsidRPr="00B617C9">
                        <w:t>Key takeaway</w:t>
                      </w:r>
                      <w:r w:rsidRPr="004F3C01">
                        <w:t>s:</w:t>
                      </w:r>
                    </w:p>
                    <w:p w14:paraId="0920C50B" w14:textId="670A724A" w:rsidR="004A5074" w:rsidRDefault="00C0097C" w:rsidP="006A4087">
                      <w:pPr>
                        <w:pStyle w:val="BodytextSH"/>
                      </w:pPr>
                      <w:r w:rsidRPr="004A5074">
                        <w:t>For a client to be counted in an indicator they must have</w:t>
                      </w:r>
                      <w:r w:rsidR="00A653BF">
                        <w:t xml:space="preserve"> specific data recorded</w:t>
                      </w:r>
                      <w:r w:rsidR="005937A2">
                        <w:t xml:space="preserve"> for each of the following</w:t>
                      </w:r>
                      <w:r w:rsidR="004A5074">
                        <w:t>:</w:t>
                      </w:r>
                      <w:r w:rsidRPr="004A5074">
                        <w:t xml:space="preserve"> </w:t>
                      </w:r>
                    </w:p>
                    <w:p w14:paraId="40C206A2" w14:textId="48BC7290" w:rsidR="00AB5AD3" w:rsidRDefault="004A5074" w:rsidP="00B617C9">
                      <w:pPr>
                        <w:pStyle w:val="Numberedlist-SH"/>
                      </w:pPr>
                      <w:r>
                        <w:t>T</w:t>
                      </w:r>
                      <w:r w:rsidR="00C0097C" w:rsidRPr="004A5074">
                        <w:t>he relevant foundational element</w:t>
                      </w:r>
                      <w:r w:rsidR="00A653BF">
                        <w:t>s</w:t>
                      </w:r>
                      <w:r w:rsidR="00C0097C" w:rsidRPr="004A5074">
                        <w:t>. For example</w:t>
                      </w:r>
                      <w:r w:rsidR="00A653BF">
                        <w:t>,</w:t>
                      </w:r>
                      <w:r w:rsidR="00C0097C" w:rsidRPr="004A5074">
                        <w:t xml:space="preserve"> in most of the nKPIs, clients must be </w:t>
                      </w:r>
                      <w:r w:rsidR="00F144A7" w:rsidRPr="004A5074">
                        <w:t xml:space="preserve">Indigenous, </w:t>
                      </w:r>
                      <w:r w:rsidRPr="004A5074">
                        <w:t xml:space="preserve">have sufficient valid visit types to be counted as </w:t>
                      </w:r>
                      <w:r w:rsidR="00F144A7" w:rsidRPr="004A5074">
                        <w:t xml:space="preserve">a </w:t>
                      </w:r>
                      <w:r w:rsidR="00C0097C" w:rsidRPr="004A5074">
                        <w:t xml:space="preserve">regular client, </w:t>
                      </w:r>
                      <w:r w:rsidR="00F144A7" w:rsidRPr="004A5074">
                        <w:t>male or female</w:t>
                      </w:r>
                      <w:r w:rsidRPr="004A5074">
                        <w:t>, and have their age recorded.</w:t>
                      </w:r>
                    </w:p>
                    <w:p w14:paraId="7E7A9994" w14:textId="47E425E6" w:rsidR="004A5074" w:rsidRPr="004A5074" w:rsidRDefault="00B047BB" w:rsidP="00D35710">
                      <w:pPr>
                        <w:pStyle w:val="Numberedlist-SH"/>
                      </w:pPr>
                      <w:r>
                        <w:t xml:space="preserve">Specific data </w:t>
                      </w:r>
                      <w:r w:rsidR="00A653BF">
                        <w:t xml:space="preserve">relevant </w:t>
                      </w:r>
                      <w:r>
                        <w:t xml:space="preserve">to the </w:t>
                      </w:r>
                      <w:r w:rsidR="00A653BF">
                        <w:t>indicator. For example,</w:t>
                      </w:r>
                      <w:r w:rsidR="008E64DB">
                        <w:t xml:space="preserve"> in PI12 ‘Body Mass Index</w:t>
                      </w:r>
                      <w:r w:rsidR="00D0662D">
                        <w:t>’ (BMI)</w:t>
                      </w:r>
                      <w:r w:rsidR="008E64DB">
                        <w:t xml:space="preserve">, </w:t>
                      </w:r>
                      <w:r w:rsidR="00505B90">
                        <w:t xml:space="preserve">the client must </w:t>
                      </w:r>
                      <w:r w:rsidR="00EE3B31">
                        <w:t>h</w:t>
                      </w:r>
                      <w:r w:rsidR="00D0662D">
                        <w:t xml:space="preserve">ave a BMI recorded </w:t>
                      </w:r>
                      <w:r w:rsidR="006A4087">
                        <w:t>in the last 24 months.</w:t>
                      </w:r>
                      <w:r w:rsidR="00EE3B31"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275433" w14:textId="6146EB74" w:rsidR="00AB5AD3" w:rsidRDefault="00AB5AD3" w:rsidP="003729C7">
      <w:pPr>
        <w:pStyle w:val="Heading1SH"/>
      </w:pPr>
    </w:p>
    <w:p w14:paraId="3E439EB9" w14:textId="77777777" w:rsidR="00AB5AD3" w:rsidRDefault="00AB5AD3" w:rsidP="003729C7">
      <w:pPr>
        <w:pStyle w:val="Heading1SH"/>
      </w:pPr>
    </w:p>
    <w:p w14:paraId="2D4D0AB3" w14:textId="77777777" w:rsidR="00AB5AD3" w:rsidRDefault="00AB5AD3" w:rsidP="003729C7">
      <w:pPr>
        <w:pStyle w:val="Heading1SH"/>
      </w:pPr>
    </w:p>
    <w:p w14:paraId="308234AA" w14:textId="77777777" w:rsidR="005937A2" w:rsidRDefault="005937A2" w:rsidP="003729C7">
      <w:pPr>
        <w:pStyle w:val="Heading1SH"/>
      </w:pPr>
    </w:p>
    <w:p w14:paraId="5B5BB6EB" w14:textId="77777777" w:rsidR="006A4087" w:rsidRPr="006A4087" w:rsidRDefault="006A4087" w:rsidP="00D35710">
      <w:pPr>
        <w:pStyle w:val="BodytextSH"/>
      </w:pPr>
    </w:p>
    <w:p w14:paraId="7B759159" w14:textId="77777777" w:rsidR="007F433D" w:rsidRDefault="007F433D" w:rsidP="003729C7">
      <w:pPr>
        <w:pStyle w:val="Heading1SH"/>
      </w:pPr>
    </w:p>
    <w:p w14:paraId="05E7139A" w14:textId="34033E30" w:rsidR="003729C7" w:rsidRDefault="003729C7" w:rsidP="003729C7">
      <w:pPr>
        <w:pStyle w:val="Heading1SH"/>
      </w:pPr>
      <w:r>
        <w:t>Resources</w:t>
      </w:r>
    </w:p>
    <w:p w14:paraId="6EF12A49" w14:textId="178A3425" w:rsidR="3DC0A98A" w:rsidRDefault="3DC0A98A" w:rsidP="0A01CA28">
      <w:pPr>
        <w:spacing w:before="120" w:after="120" w:line="257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A01CA28">
        <w:rPr>
          <w:rFonts w:ascii="Arial" w:eastAsia="Arial" w:hAnsi="Arial" w:cs="Arial"/>
          <w:color w:val="000000" w:themeColor="text1"/>
          <w:sz w:val="22"/>
          <w:szCs w:val="22"/>
        </w:rPr>
        <w:t>Links t</w:t>
      </w:r>
      <w:r w:rsidRPr="0A01CA28">
        <w:rPr>
          <w:rFonts w:ascii="Arial" w:eastAsia="Arial" w:hAnsi="Arial" w:cs="Arial"/>
          <w:sz w:val="22"/>
          <w:szCs w:val="22"/>
        </w:rPr>
        <w:t>o supporting documents, information and further reading:</w:t>
      </w:r>
    </w:p>
    <w:p w14:paraId="479D1C3F" w14:textId="1CB9CB2D" w:rsidR="0063019D" w:rsidRPr="0063019D" w:rsidRDefault="00D736BB" w:rsidP="0063019D">
      <w:pPr>
        <w:pStyle w:val="BulletSH"/>
        <w:rPr>
          <w:rStyle w:val="Strong"/>
          <w:b w:val="0"/>
        </w:rPr>
      </w:pPr>
      <w:r w:rsidRPr="65B1E71F">
        <w:rPr>
          <w:rStyle w:val="Strong"/>
        </w:rPr>
        <w:t>Specifications for nKPI and OSR:</w:t>
      </w:r>
      <w:r>
        <w:t xml:space="preserve"> This document is </w:t>
      </w:r>
      <w:r w:rsidR="00AF6931">
        <w:t xml:space="preserve">intended </w:t>
      </w:r>
      <w:r>
        <w:t xml:space="preserve">for </w:t>
      </w:r>
      <w:r w:rsidR="0084033E">
        <w:t xml:space="preserve">health services </w:t>
      </w:r>
      <w:r>
        <w:t xml:space="preserve">and clinical information system vendors. It </w:t>
      </w:r>
      <w:r w:rsidR="00AF6931">
        <w:t>provides</w:t>
      </w:r>
      <w:r>
        <w:t xml:space="preserve"> a detailed overview of foundation data </w:t>
      </w:r>
      <w:r w:rsidR="009B3457">
        <w:t>elements</w:t>
      </w:r>
      <w:r w:rsidR="00871298">
        <w:t xml:space="preserve"> </w:t>
      </w:r>
      <w:r w:rsidR="002F0C15">
        <w:t>(including differences between nKP</w:t>
      </w:r>
      <w:r w:rsidR="000102DB">
        <w:t>I</w:t>
      </w:r>
      <w:r w:rsidR="002F0C15">
        <w:t xml:space="preserve"> and OSR) </w:t>
      </w:r>
      <w:r>
        <w:t xml:space="preserve">and a full explanation of each </w:t>
      </w:r>
      <w:r w:rsidR="00871298">
        <w:t xml:space="preserve">indicator </w:t>
      </w:r>
      <w:r w:rsidR="00EC3EB5">
        <w:t xml:space="preserve">- </w:t>
      </w:r>
      <w:r>
        <w:t>covering inclusions, exclusions, counting rules</w:t>
      </w:r>
      <w:r w:rsidR="00982D31">
        <w:t xml:space="preserve"> and</w:t>
      </w:r>
      <w:r>
        <w:t xml:space="preserve"> disaggregation points</w:t>
      </w:r>
      <w:r w:rsidR="00982D31">
        <w:t xml:space="preserve"> (including the related measure codes that you may see in your CIS reports). </w:t>
      </w:r>
      <w:r w:rsidR="00B14366">
        <w:t xml:space="preserve">It also highlights Variances in vendor implementation for some data. </w:t>
      </w:r>
      <w:r w:rsidR="00F92951">
        <w:t xml:space="preserve">You can access the Specifications here: </w:t>
      </w:r>
      <w:hyperlink r:id="rId15">
        <w:r w:rsidR="00F92951" w:rsidRPr="65B1E71F">
          <w:rPr>
            <w:rStyle w:val="Hyperlink"/>
          </w:rPr>
          <w:t>https://www.solvinghealth.au/specifications</w:t>
        </w:r>
      </w:hyperlink>
      <w:r w:rsidR="00E67879">
        <w:t xml:space="preserve"> or by following Projects &gt; then Specifications from the home page.</w:t>
      </w:r>
      <w:r w:rsidR="0063019D">
        <w:t xml:space="preserve"> </w:t>
      </w:r>
      <w:r w:rsidR="54224939" w:rsidRPr="65B1E71F">
        <w:rPr>
          <w:rStyle w:val="Strong"/>
          <w:bCs/>
        </w:rPr>
        <w:t xml:space="preserve">Links to CIS vendor user guides are also listed at the bottom of the webpage. </w:t>
      </w:r>
      <w:r w:rsidR="00A35E2F">
        <w:t xml:space="preserve">Make sure </w:t>
      </w:r>
      <w:r w:rsidR="0044372A">
        <w:t>you have the most recent version</w:t>
      </w:r>
      <w:r w:rsidR="00A35E2F">
        <w:t xml:space="preserve"> as the specifications are updated periodically</w:t>
      </w:r>
      <w:r w:rsidR="0044372A">
        <w:t>.</w:t>
      </w:r>
      <w:r w:rsidR="0063019D">
        <w:t xml:space="preserve"> </w:t>
      </w:r>
    </w:p>
    <w:p w14:paraId="711440FF" w14:textId="629C9C6E" w:rsidR="00D736BB" w:rsidRDefault="00D736BB" w:rsidP="00D736BB">
      <w:pPr>
        <w:pStyle w:val="BulletSH"/>
      </w:pPr>
      <w:r w:rsidRPr="00D35710">
        <w:rPr>
          <w:b/>
          <w:bCs w:val="0"/>
        </w:rPr>
        <w:t xml:space="preserve">nKPI </w:t>
      </w:r>
      <w:r w:rsidR="00982D31" w:rsidRPr="00D35710">
        <w:rPr>
          <w:b/>
          <w:bCs w:val="0"/>
        </w:rPr>
        <w:t>Coding Frameworks</w:t>
      </w:r>
      <w:r w:rsidR="00B14366">
        <w:t>: The coding frameworks for</w:t>
      </w:r>
      <w:r w:rsidR="00982D31">
        <w:t xml:space="preserve"> c</w:t>
      </w:r>
      <w:r>
        <w:t>ondition</w:t>
      </w:r>
      <w:r w:rsidR="00982D31">
        <w:t>s</w:t>
      </w:r>
      <w:r>
        <w:t xml:space="preserve"> </w:t>
      </w:r>
      <w:r w:rsidR="004826A7">
        <w:t>(</w:t>
      </w:r>
      <w:r w:rsidR="00A52CE7">
        <w:t xml:space="preserve">and pathology </w:t>
      </w:r>
      <w:r w:rsidR="004826A7">
        <w:t xml:space="preserve">for </w:t>
      </w:r>
      <w:r w:rsidR="00982D31">
        <w:t>sexually transmitted infections</w:t>
      </w:r>
      <w:r w:rsidR="004826A7">
        <w:t xml:space="preserve">) outline which </w:t>
      </w:r>
      <w:r w:rsidR="00A26F97">
        <w:t xml:space="preserve">condition diagnosis </w:t>
      </w:r>
      <w:r w:rsidR="004826A7">
        <w:t>codes are included and excluded</w:t>
      </w:r>
      <w:r w:rsidR="00A26F97">
        <w:t xml:space="preserve"> for each CIS</w:t>
      </w:r>
      <w:r>
        <w:t xml:space="preserve">. </w:t>
      </w:r>
      <w:r w:rsidR="00B14366">
        <w:t xml:space="preserve">These are included in the Specifications for nKPI and OSR </w:t>
      </w:r>
      <w:r w:rsidR="00613358">
        <w:t>(as per link above).</w:t>
      </w:r>
    </w:p>
    <w:p w14:paraId="769A1372" w14:textId="210D0779" w:rsidR="00613358" w:rsidRDefault="00613358" w:rsidP="00D736BB">
      <w:pPr>
        <w:pStyle w:val="BulletSH"/>
      </w:pPr>
      <w:r>
        <w:rPr>
          <w:b/>
          <w:bCs w:val="0"/>
        </w:rPr>
        <w:t xml:space="preserve">Health Data Portal User </w:t>
      </w:r>
      <w:r w:rsidR="00C416D9">
        <w:rPr>
          <w:b/>
          <w:bCs w:val="0"/>
        </w:rPr>
        <w:t>Help</w:t>
      </w:r>
      <w:r w:rsidRPr="00D35710">
        <w:t>:</w:t>
      </w:r>
      <w:r>
        <w:t xml:space="preserve"> </w:t>
      </w:r>
      <w:r w:rsidR="00C416D9">
        <w:t xml:space="preserve">A </w:t>
      </w:r>
      <w:r w:rsidR="002501E3">
        <w:t xml:space="preserve">comprehensive suite of resources </w:t>
      </w:r>
      <w:r w:rsidR="00C949B9">
        <w:t>for Health Data Portal users is</w:t>
      </w:r>
      <w:r w:rsidR="000F1D3B">
        <w:t xml:space="preserve"> </w:t>
      </w:r>
      <w:r w:rsidR="002501E3">
        <w:t xml:space="preserve">available at: </w:t>
      </w:r>
      <w:hyperlink r:id="rId16" w:history="1">
        <w:r w:rsidR="7739D62E" w:rsidRPr="5AF26726">
          <w:rPr>
            <w:rStyle w:val="Hyperlink"/>
          </w:rPr>
          <w:t>https://dataportal.health.gov.au/</w:t>
        </w:r>
      </w:hyperlink>
      <w:r w:rsidR="7739D62E">
        <w:t xml:space="preserve"> &gt; User Help &gt; </w:t>
      </w:r>
      <w:hyperlink r:id="rId17" w:history="1">
        <w:r w:rsidR="00C02ED0" w:rsidRPr="00DF3E69">
          <w:rPr>
            <w:rStyle w:val="Hyperlink"/>
          </w:rPr>
          <w:t>Indigenous Health Data Reporting</w:t>
        </w:r>
      </w:hyperlink>
    </w:p>
    <w:p w14:paraId="3A7CB072" w14:textId="32CC8825" w:rsidR="1CC118DD" w:rsidRDefault="27C6B4B3" w:rsidP="1C63CF26">
      <w:pPr>
        <w:pStyle w:val="BulletSH"/>
      </w:pPr>
      <w:r w:rsidRPr="00D35710">
        <w:rPr>
          <w:b/>
          <w:bCs w:val="0"/>
        </w:rPr>
        <w:t xml:space="preserve">nKPI </w:t>
      </w:r>
      <w:r w:rsidR="1CC118DD" w:rsidRPr="00D35710">
        <w:rPr>
          <w:b/>
          <w:bCs w:val="0"/>
        </w:rPr>
        <w:t>User Guide:</w:t>
      </w:r>
      <w:r w:rsidR="1CC118DD">
        <w:t xml:space="preserve"> </w:t>
      </w:r>
      <w:r w:rsidR="00D878E3">
        <w:t>T</w:t>
      </w:r>
      <w:r w:rsidR="1CC118DD">
        <w:t>he</w:t>
      </w:r>
      <w:r w:rsidR="007A165B">
        <w:t xml:space="preserve"> Australian Institute of Health and Welfare </w:t>
      </w:r>
      <w:r w:rsidR="002105E8">
        <w:t xml:space="preserve">(AIHW) </w:t>
      </w:r>
      <w:r w:rsidR="007A165B">
        <w:t>nKPI user</w:t>
      </w:r>
      <w:r w:rsidR="1CC118DD">
        <w:t xml:space="preserve"> guides are specific to each reporting round</w:t>
      </w:r>
      <w:r w:rsidR="6603B758">
        <w:t xml:space="preserve">. The relevant guide </w:t>
      </w:r>
      <w:r w:rsidR="00D878E3">
        <w:t>can be accessed from the</w:t>
      </w:r>
      <w:r w:rsidR="6603B758">
        <w:t xml:space="preserve"> link at the bottom of th</w:t>
      </w:r>
      <w:r w:rsidR="00D878E3">
        <w:t xml:space="preserve">e </w:t>
      </w:r>
      <w:r w:rsidR="6603B758">
        <w:t>page:</w:t>
      </w:r>
      <w:r w:rsidR="2D10AC8A">
        <w:t xml:space="preserve"> </w:t>
      </w:r>
      <w:hyperlink r:id="rId18" w:history="1">
        <w:r w:rsidR="00D878E3" w:rsidRPr="005D5923">
          <w:rPr>
            <w:rStyle w:val="Hyperlink"/>
          </w:rPr>
          <w:t>https://www.aihw.gov.au/about-our-data/our-data-collections/national-key-performance-indicators/about-nkpi-collection</w:t>
        </w:r>
      </w:hyperlink>
      <w:r w:rsidR="00D878E3">
        <w:t xml:space="preserve">. </w:t>
      </w:r>
    </w:p>
    <w:p w14:paraId="4EFC9ED8" w14:textId="6B8FB2AE" w:rsidR="008819A3" w:rsidRDefault="002105E8" w:rsidP="1C63CF26">
      <w:pPr>
        <w:pStyle w:val="BulletSH"/>
      </w:pPr>
      <w:r>
        <w:rPr>
          <w:b/>
          <w:bCs w:val="0"/>
        </w:rPr>
        <w:t>nKPI Data Quality Statement:</w:t>
      </w:r>
      <w:r>
        <w:t xml:space="preserve"> The </w:t>
      </w:r>
      <w:r w:rsidR="00B10BA9">
        <w:t xml:space="preserve">AIHW’s METEOR data quality statement lists known data quality issues in the nKPIs. Updated at the end of the reporting round, the </w:t>
      </w:r>
      <w:r w:rsidR="007E727C">
        <w:t xml:space="preserve">most </w:t>
      </w:r>
      <w:r w:rsidR="006C75F7">
        <w:t>recent</w:t>
      </w:r>
      <w:r w:rsidR="007E727C">
        <w:t xml:space="preserve"> link for the June 2024 round </w:t>
      </w:r>
      <w:r w:rsidR="00B10BA9">
        <w:t xml:space="preserve">is at: </w:t>
      </w:r>
      <w:hyperlink r:id="rId19" w:history="1">
        <w:r w:rsidR="007E727C" w:rsidRPr="005D5923">
          <w:rPr>
            <w:rStyle w:val="Hyperlink"/>
          </w:rPr>
          <w:t>https://meteor.aihw.gov.au/content/801544</w:t>
        </w:r>
      </w:hyperlink>
      <w:r w:rsidR="007E727C">
        <w:t xml:space="preserve"> </w:t>
      </w:r>
    </w:p>
    <w:p w14:paraId="76D6B0C1" w14:textId="77777777" w:rsidR="00631C00" w:rsidRPr="00631C00" w:rsidRDefault="65B9A025" w:rsidP="00631C00">
      <w:pPr>
        <w:pStyle w:val="BodytextSH"/>
      </w:pPr>
      <w:r>
        <w:t xml:space="preserve">For more data management tips see the other articles in this series available at: </w:t>
      </w:r>
      <w:hyperlink r:id="rId20" w:anchor="ClinicalInformationSystem(CIS)EducationArticles" w:history="1">
        <w:r w:rsidR="00631C00" w:rsidRPr="00631C00">
          <w:rPr>
            <w:rStyle w:val="Hyperlink"/>
          </w:rPr>
          <w:t>Clinical Information System (CIS) Education Articles</w:t>
        </w:r>
      </w:hyperlink>
    </w:p>
    <w:p w14:paraId="1B0CA339" w14:textId="2547DDE4" w:rsidR="00AF0FD7" w:rsidRDefault="00AF0FD7" w:rsidP="068BC03D">
      <w:pPr>
        <w:pStyle w:val="BodytextSH"/>
      </w:pPr>
    </w:p>
    <w:sectPr w:rsidR="00AF0FD7" w:rsidSect="002B5DB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10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6677" w14:textId="77777777" w:rsidR="007370EC" w:rsidRDefault="007370EC" w:rsidP="00AD66D6">
      <w:r>
        <w:separator/>
      </w:r>
    </w:p>
  </w:endnote>
  <w:endnote w:type="continuationSeparator" w:id="0">
    <w:p w14:paraId="517A0AF5" w14:textId="77777777" w:rsidR="007370EC" w:rsidRDefault="007370EC" w:rsidP="00AD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D604" w14:textId="77777777" w:rsidR="00A2041C" w:rsidRDefault="00A204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4447" w14:textId="675AA7AE" w:rsidR="00AD66D6" w:rsidRPr="00631C00" w:rsidRDefault="00AD66D6" w:rsidP="00AD66D6">
    <w:pPr>
      <w:pStyle w:val="FooterSH"/>
      <w:tabs>
        <w:tab w:val="right" w:pos="8931"/>
      </w:tabs>
      <w:ind w:right="-6"/>
      <w:rPr>
        <w:color w:val="505050"/>
      </w:rPr>
    </w:pPr>
    <w:r w:rsidRPr="00631C00">
      <w:rPr>
        <w:color w:val="505050"/>
      </w:rPr>
      <w:t xml:space="preserve">Solving Health                                                  </w:t>
    </w:r>
    <w:r w:rsidR="00D736BB" w:rsidRPr="00631C00">
      <w:rPr>
        <w:color w:val="505050"/>
      </w:rPr>
      <w:t xml:space="preserve">CIS User Guides </w:t>
    </w:r>
    <w:r w:rsidR="003D32AD" w:rsidRPr="00631C00">
      <w:rPr>
        <w:color w:val="505050"/>
      </w:rPr>
      <w:t>-</w:t>
    </w:r>
    <w:r w:rsidR="06B62DD7" w:rsidRPr="00631C00">
      <w:rPr>
        <w:color w:val="505050"/>
      </w:rPr>
      <w:t xml:space="preserve"> </w:t>
    </w:r>
    <w:r w:rsidR="00D736BB" w:rsidRPr="00631C00">
      <w:rPr>
        <w:color w:val="505050"/>
      </w:rPr>
      <w:t>June 2025</w:t>
    </w:r>
    <w:r w:rsidRPr="00631C00">
      <w:rPr>
        <w:color w:val="505050"/>
      </w:rPr>
      <w:tab/>
    </w:r>
    <w:r w:rsidRPr="00631C00">
      <w:rPr>
        <w:color w:val="505050"/>
      </w:rPr>
      <w:fldChar w:fldCharType="begin"/>
    </w:r>
    <w:r w:rsidRPr="00631C00">
      <w:rPr>
        <w:color w:val="505050"/>
      </w:rPr>
      <w:instrText xml:space="preserve"> PAGE </w:instrText>
    </w:r>
    <w:r w:rsidRPr="00631C00">
      <w:rPr>
        <w:color w:val="505050"/>
      </w:rPr>
      <w:fldChar w:fldCharType="separate"/>
    </w:r>
    <w:r w:rsidRPr="00631C00">
      <w:rPr>
        <w:color w:val="505050"/>
      </w:rPr>
      <w:t>1</w:t>
    </w:r>
    <w:r w:rsidRPr="00631C00">
      <w:rPr>
        <w:color w:val="505050"/>
      </w:rPr>
      <w:fldChar w:fldCharType="end"/>
    </w:r>
  </w:p>
  <w:p w14:paraId="1A6F4DC5" w14:textId="77777777" w:rsidR="00AD66D6" w:rsidRDefault="00AD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C0F6" w14:textId="77777777" w:rsidR="00A2041C" w:rsidRDefault="00A20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6247F" w14:textId="77777777" w:rsidR="007370EC" w:rsidRDefault="007370EC" w:rsidP="00AD66D6">
      <w:r>
        <w:separator/>
      </w:r>
    </w:p>
  </w:footnote>
  <w:footnote w:type="continuationSeparator" w:id="0">
    <w:p w14:paraId="0A9B4138" w14:textId="77777777" w:rsidR="007370EC" w:rsidRDefault="007370EC" w:rsidP="00AD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3E64" w14:textId="617FA57D" w:rsidR="002B3460" w:rsidRDefault="002B3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FBDB" w14:textId="640ADB97" w:rsidR="002B3460" w:rsidRDefault="002B34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2446" w14:textId="5745FA39" w:rsidR="002B3460" w:rsidRDefault="002B34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1D4B"/>
    <w:multiLevelType w:val="hybridMultilevel"/>
    <w:tmpl w:val="5508AB94"/>
    <w:lvl w:ilvl="0" w:tplc="0220E580">
      <w:start w:val="1"/>
      <w:numFmt w:val="bullet"/>
      <w:pStyle w:val="Indicatortablelist-SH"/>
      <w:lvlText w:val=""/>
      <w:lvlJc w:val="left"/>
      <w:pPr>
        <w:ind w:left="360" w:hanging="360"/>
      </w:pPr>
      <w:rPr>
        <w:rFonts w:ascii="Symbol" w:hAnsi="Symbol" w:hint="default"/>
        <w:color w:val="8B94B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94312"/>
    <w:multiLevelType w:val="hybridMultilevel"/>
    <w:tmpl w:val="8F4A8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2752F"/>
    <w:multiLevelType w:val="hybridMultilevel"/>
    <w:tmpl w:val="41E44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B2914"/>
    <w:multiLevelType w:val="hybridMultilevel"/>
    <w:tmpl w:val="F744B0B6"/>
    <w:lvl w:ilvl="0" w:tplc="C7E2AD68">
      <w:start w:val="1"/>
      <w:numFmt w:val="decimal"/>
      <w:pStyle w:val="Bodytextsmall-S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9896A"/>
    <w:multiLevelType w:val="hybridMultilevel"/>
    <w:tmpl w:val="FFFFFFFF"/>
    <w:lvl w:ilvl="0" w:tplc="9EB4C67C">
      <w:start w:val="1"/>
      <w:numFmt w:val="decimal"/>
      <w:lvlText w:val="%1."/>
      <w:lvlJc w:val="left"/>
      <w:pPr>
        <w:ind w:left="720" w:hanging="360"/>
      </w:pPr>
    </w:lvl>
    <w:lvl w:ilvl="1" w:tplc="0DEA426A">
      <w:start w:val="1"/>
      <w:numFmt w:val="lowerLetter"/>
      <w:lvlText w:val="%2."/>
      <w:lvlJc w:val="left"/>
      <w:pPr>
        <w:ind w:left="1440" w:hanging="360"/>
      </w:pPr>
    </w:lvl>
    <w:lvl w:ilvl="2" w:tplc="64DA77B0">
      <w:start w:val="1"/>
      <w:numFmt w:val="lowerRoman"/>
      <w:lvlText w:val="%3."/>
      <w:lvlJc w:val="right"/>
      <w:pPr>
        <w:ind w:left="2160" w:hanging="180"/>
      </w:pPr>
    </w:lvl>
    <w:lvl w:ilvl="3" w:tplc="360AB05E">
      <w:start w:val="1"/>
      <w:numFmt w:val="decimal"/>
      <w:lvlText w:val="%4."/>
      <w:lvlJc w:val="left"/>
      <w:pPr>
        <w:ind w:left="2880" w:hanging="360"/>
      </w:pPr>
    </w:lvl>
    <w:lvl w:ilvl="4" w:tplc="A4B2D790">
      <w:start w:val="1"/>
      <w:numFmt w:val="lowerLetter"/>
      <w:lvlText w:val="%5."/>
      <w:lvlJc w:val="left"/>
      <w:pPr>
        <w:ind w:left="3600" w:hanging="360"/>
      </w:pPr>
    </w:lvl>
    <w:lvl w:ilvl="5" w:tplc="26ECA958">
      <w:start w:val="1"/>
      <w:numFmt w:val="lowerRoman"/>
      <w:lvlText w:val="%6."/>
      <w:lvlJc w:val="right"/>
      <w:pPr>
        <w:ind w:left="4320" w:hanging="180"/>
      </w:pPr>
    </w:lvl>
    <w:lvl w:ilvl="6" w:tplc="40BCC372">
      <w:start w:val="1"/>
      <w:numFmt w:val="decimal"/>
      <w:lvlText w:val="%7."/>
      <w:lvlJc w:val="left"/>
      <w:pPr>
        <w:ind w:left="5040" w:hanging="360"/>
      </w:pPr>
    </w:lvl>
    <w:lvl w:ilvl="7" w:tplc="5E46045E">
      <w:start w:val="1"/>
      <w:numFmt w:val="lowerLetter"/>
      <w:lvlText w:val="%8."/>
      <w:lvlJc w:val="left"/>
      <w:pPr>
        <w:ind w:left="5760" w:hanging="360"/>
      </w:pPr>
    </w:lvl>
    <w:lvl w:ilvl="8" w:tplc="DDDCDB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406DB"/>
    <w:multiLevelType w:val="hybridMultilevel"/>
    <w:tmpl w:val="3EA47F9A"/>
    <w:lvl w:ilvl="0" w:tplc="D0E8E936">
      <w:start w:val="1"/>
      <w:numFmt w:val="bullet"/>
      <w:pStyle w:val="KPIBulletinTable-SH"/>
      <w:lvlText w:val=""/>
      <w:lvlJc w:val="left"/>
      <w:pPr>
        <w:ind w:left="720" w:hanging="360"/>
      </w:pPr>
      <w:rPr>
        <w:rFonts w:ascii="Symbol" w:hAnsi="Symbol" w:hint="default"/>
        <w:color w:val="1AA4A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6561A"/>
    <w:multiLevelType w:val="hybridMultilevel"/>
    <w:tmpl w:val="62A246A4"/>
    <w:lvl w:ilvl="0" w:tplc="75E8AA60">
      <w:start w:val="1"/>
      <w:numFmt w:val="decimal"/>
      <w:pStyle w:val="Numberedlist-S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51E88"/>
    <w:multiLevelType w:val="hybridMultilevel"/>
    <w:tmpl w:val="149636F6"/>
    <w:lvl w:ilvl="0" w:tplc="FFFFFFFF">
      <w:start w:val="1"/>
      <w:numFmt w:val="bullet"/>
      <w:pStyle w:val="BulletSH"/>
      <w:lvlText w:val="·"/>
      <w:lvlJc w:val="left"/>
      <w:pPr>
        <w:ind w:left="360" w:hanging="360"/>
      </w:pPr>
      <w:rPr>
        <w:rFonts w:ascii="Symbol" w:hAnsi="Symbol" w:hint="default"/>
        <w:color w:val="1AA4A0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179130459">
    <w:abstractNumId w:val="4"/>
  </w:num>
  <w:num w:numId="2" w16cid:durableId="1166169726">
    <w:abstractNumId w:val="6"/>
  </w:num>
  <w:num w:numId="3" w16cid:durableId="198860622">
    <w:abstractNumId w:val="3"/>
  </w:num>
  <w:num w:numId="4" w16cid:durableId="409347149">
    <w:abstractNumId w:val="7"/>
  </w:num>
  <w:num w:numId="5" w16cid:durableId="995886109">
    <w:abstractNumId w:val="0"/>
  </w:num>
  <w:num w:numId="6" w16cid:durableId="1125780107">
    <w:abstractNumId w:val="5"/>
  </w:num>
  <w:num w:numId="7" w16cid:durableId="1115296088">
    <w:abstractNumId w:val="0"/>
  </w:num>
  <w:num w:numId="8" w16cid:durableId="992366657">
    <w:abstractNumId w:val="1"/>
  </w:num>
  <w:num w:numId="9" w16cid:durableId="2041315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B3"/>
    <w:rsid w:val="00001947"/>
    <w:rsid w:val="00001E34"/>
    <w:rsid w:val="00003E18"/>
    <w:rsid w:val="00007E18"/>
    <w:rsid w:val="000102DB"/>
    <w:rsid w:val="0001217A"/>
    <w:rsid w:val="00014B57"/>
    <w:rsid w:val="00024526"/>
    <w:rsid w:val="00031954"/>
    <w:rsid w:val="000406C2"/>
    <w:rsid w:val="000526EC"/>
    <w:rsid w:val="00062E40"/>
    <w:rsid w:val="00063870"/>
    <w:rsid w:val="00065E41"/>
    <w:rsid w:val="000733D0"/>
    <w:rsid w:val="00073FD6"/>
    <w:rsid w:val="00076D02"/>
    <w:rsid w:val="000827A9"/>
    <w:rsid w:val="000A5869"/>
    <w:rsid w:val="000B0358"/>
    <w:rsid w:val="000B5F85"/>
    <w:rsid w:val="000C1DEF"/>
    <w:rsid w:val="000C3E51"/>
    <w:rsid w:val="000E02BB"/>
    <w:rsid w:val="000E1F4A"/>
    <w:rsid w:val="000F1D3B"/>
    <w:rsid w:val="000F1D80"/>
    <w:rsid w:val="000F6265"/>
    <w:rsid w:val="001002A0"/>
    <w:rsid w:val="00100D2F"/>
    <w:rsid w:val="00112C3B"/>
    <w:rsid w:val="00117DC3"/>
    <w:rsid w:val="001201E9"/>
    <w:rsid w:val="0012253B"/>
    <w:rsid w:val="001358BA"/>
    <w:rsid w:val="001452FF"/>
    <w:rsid w:val="00164320"/>
    <w:rsid w:val="001732A3"/>
    <w:rsid w:val="0017437D"/>
    <w:rsid w:val="00180AB9"/>
    <w:rsid w:val="00182F30"/>
    <w:rsid w:val="00186CF3"/>
    <w:rsid w:val="001A48E2"/>
    <w:rsid w:val="001A5F89"/>
    <w:rsid w:val="001B793A"/>
    <w:rsid w:val="001C11EA"/>
    <w:rsid w:val="001D00E0"/>
    <w:rsid w:val="001D651A"/>
    <w:rsid w:val="001E15FF"/>
    <w:rsid w:val="001E2279"/>
    <w:rsid w:val="001E411F"/>
    <w:rsid w:val="001E4A5A"/>
    <w:rsid w:val="001F0D44"/>
    <w:rsid w:val="001F1A0F"/>
    <w:rsid w:val="001F44DE"/>
    <w:rsid w:val="002006BE"/>
    <w:rsid w:val="00205EB1"/>
    <w:rsid w:val="002105E8"/>
    <w:rsid w:val="00210D89"/>
    <w:rsid w:val="00220F36"/>
    <w:rsid w:val="0022185D"/>
    <w:rsid w:val="00234699"/>
    <w:rsid w:val="00235C8F"/>
    <w:rsid w:val="00235D45"/>
    <w:rsid w:val="00242391"/>
    <w:rsid w:val="002438D7"/>
    <w:rsid w:val="00244E41"/>
    <w:rsid w:val="002501E3"/>
    <w:rsid w:val="00252CDA"/>
    <w:rsid w:val="00270311"/>
    <w:rsid w:val="002703AE"/>
    <w:rsid w:val="00281B5A"/>
    <w:rsid w:val="00281BD9"/>
    <w:rsid w:val="00295D84"/>
    <w:rsid w:val="002B13AB"/>
    <w:rsid w:val="002B3460"/>
    <w:rsid w:val="002B5DB3"/>
    <w:rsid w:val="002B6D84"/>
    <w:rsid w:val="002C22AF"/>
    <w:rsid w:val="002C3511"/>
    <w:rsid w:val="002C5A6D"/>
    <w:rsid w:val="002D49A7"/>
    <w:rsid w:val="002E4FF1"/>
    <w:rsid w:val="002F0C15"/>
    <w:rsid w:val="002F7030"/>
    <w:rsid w:val="002F7031"/>
    <w:rsid w:val="003009E9"/>
    <w:rsid w:val="00304E40"/>
    <w:rsid w:val="00306613"/>
    <w:rsid w:val="00326B6A"/>
    <w:rsid w:val="003300D9"/>
    <w:rsid w:val="00335739"/>
    <w:rsid w:val="00345B09"/>
    <w:rsid w:val="00355AC6"/>
    <w:rsid w:val="00356095"/>
    <w:rsid w:val="003729C7"/>
    <w:rsid w:val="00374E60"/>
    <w:rsid w:val="00392F83"/>
    <w:rsid w:val="0039632C"/>
    <w:rsid w:val="003A217C"/>
    <w:rsid w:val="003C2E8F"/>
    <w:rsid w:val="003D0B4E"/>
    <w:rsid w:val="003D32AD"/>
    <w:rsid w:val="003D4C25"/>
    <w:rsid w:val="003D4EF4"/>
    <w:rsid w:val="003E286E"/>
    <w:rsid w:val="003F75F0"/>
    <w:rsid w:val="00412806"/>
    <w:rsid w:val="00414FF6"/>
    <w:rsid w:val="00415C18"/>
    <w:rsid w:val="0043279D"/>
    <w:rsid w:val="0043302F"/>
    <w:rsid w:val="00434923"/>
    <w:rsid w:val="00441830"/>
    <w:rsid w:val="00441C78"/>
    <w:rsid w:val="0044372A"/>
    <w:rsid w:val="00444293"/>
    <w:rsid w:val="00445B34"/>
    <w:rsid w:val="004542BA"/>
    <w:rsid w:val="00455BB0"/>
    <w:rsid w:val="00456565"/>
    <w:rsid w:val="004675F1"/>
    <w:rsid w:val="00467B3C"/>
    <w:rsid w:val="00476439"/>
    <w:rsid w:val="004826A7"/>
    <w:rsid w:val="00484508"/>
    <w:rsid w:val="00486D8E"/>
    <w:rsid w:val="00487165"/>
    <w:rsid w:val="00493394"/>
    <w:rsid w:val="00494D1C"/>
    <w:rsid w:val="004A1441"/>
    <w:rsid w:val="004A5074"/>
    <w:rsid w:val="004B57D8"/>
    <w:rsid w:val="004C0317"/>
    <w:rsid w:val="004C1E4F"/>
    <w:rsid w:val="004D39CC"/>
    <w:rsid w:val="004E2283"/>
    <w:rsid w:val="004E295B"/>
    <w:rsid w:val="004E4490"/>
    <w:rsid w:val="004F3C01"/>
    <w:rsid w:val="004F60EA"/>
    <w:rsid w:val="00505B90"/>
    <w:rsid w:val="00524631"/>
    <w:rsid w:val="005338B4"/>
    <w:rsid w:val="00544313"/>
    <w:rsid w:val="00545A09"/>
    <w:rsid w:val="00545DF0"/>
    <w:rsid w:val="00552A6C"/>
    <w:rsid w:val="00554F54"/>
    <w:rsid w:val="0055729B"/>
    <w:rsid w:val="0056675B"/>
    <w:rsid w:val="005730D3"/>
    <w:rsid w:val="00575981"/>
    <w:rsid w:val="00593621"/>
    <w:rsid w:val="005937A2"/>
    <w:rsid w:val="00595853"/>
    <w:rsid w:val="00596FD3"/>
    <w:rsid w:val="005A1218"/>
    <w:rsid w:val="005C057A"/>
    <w:rsid w:val="005C60D4"/>
    <w:rsid w:val="005E0C3B"/>
    <w:rsid w:val="005E0EDC"/>
    <w:rsid w:val="005E18F2"/>
    <w:rsid w:val="005E318F"/>
    <w:rsid w:val="005E34EA"/>
    <w:rsid w:val="005E5B0D"/>
    <w:rsid w:val="005E7E19"/>
    <w:rsid w:val="005E7ECA"/>
    <w:rsid w:val="00607891"/>
    <w:rsid w:val="00613358"/>
    <w:rsid w:val="00627C2A"/>
    <w:rsid w:val="0063019D"/>
    <w:rsid w:val="00631C00"/>
    <w:rsid w:val="006346EE"/>
    <w:rsid w:val="006533DB"/>
    <w:rsid w:val="00657F86"/>
    <w:rsid w:val="0066645C"/>
    <w:rsid w:val="00680C25"/>
    <w:rsid w:val="00682EF6"/>
    <w:rsid w:val="006838A1"/>
    <w:rsid w:val="00691850"/>
    <w:rsid w:val="006A4087"/>
    <w:rsid w:val="006A5514"/>
    <w:rsid w:val="006B5958"/>
    <w:rsid w:val="006C39CB"/>
    <w:rsid w:val="006C449F"/>
    <w:rsid w:val="006C75F7"/>
    <w:rsid w:val="006D39BC"/>
    <w:rsid w:val="006D3F82"/>
    <w:rsid w:val="006D70DC"/>
    <w:rsid w:val="006E52C1"/>
    <w:rsid w:val="006E6064"/>
    <w:rsid w:val="006F1A98"/>
    <w:rsid w:val="006F22B7"/>
    <w:rsid w:val="006F2667"/>
    <w:rsid w:val="006F45F4"/>
    <w:rsid w:val="006F500E"/>
    <w:rsid w:val="006F7271"/>
    <w:rsid w:val="00703A3F"/>
    <w:rsid w:val="00704DC1"/>
    <w:rsid w:val="007102F5"/>
    <w:rsid w:val="00736ECF"/>
    <w:rsid w:val="007370EC"/>
    <w:rsid w:val="00737FC0"/>
    <w:rsid w:val="00740B6F"/>
    <w:rsid w:val="00743EA5"/>
    <w:rsid w:val="007503B6"/>
    <w:rsid w:val="007630C8"/>
    <w:rsid w:val="00763AF8"/>
    <w:rsid w:val="0076422C"/>
    <w:rsid w:val="00766094"/>
    <w:rsid w:val="007673F9"/>
    <w:rsid w:val="00776E97"/>
    <w:rsid w:val="007863E3"/>
    <w:rsid w:val="0078650D"/>
    <w:rsid w:val="00793AC3"/>
    <w:rsid w:val="00793D2C"/>
    <w:rsid w:val="007A165B"/>
    <w:rsid w:val="007A2B53"/>
    <w:rsid w:val="007A4614"/>
    <w:rsid w:val="007B13CA"/>
    <w:rsid w:val="007B23DB"/>
    <w:rsid w:val="007B35FC"/>
    <w:rsid w:val="007B7F22"/>
    <w:rsid w:val="007E727C"/>
    <w:rsid w:val="007E7E5E"/>
    <w:rsid w:val="007F433D"/>
    <w:rsid w:val="007F5722"/>
    <w:rsid w:val="007F5D39"/>
    <w:rsid w:val="00810B03"/>
    <w:rsid w:val="00810E45"/>
    <w:rsid w:val="00820FCF"/>
    <w:rsid w:val="00833864"/>
    <w:rsid w:val="00835028"/>
    <w:rsid w:val="008402D5"/>
    <w:rsid w:val="0084033E"/>
    <w:rsid w:val="00841897"/>
    <w:rsid w:val="00846069"/>
    <w:rsid w:val="00855B9B"/>
    <w:rsid w:val="00860275"/>
    <w:rsid w:val="00864BDC"/>
    <w:rsid w:val="00864E5D"/>
    <w:rsid w:val="008709E9"/>
    <w:rsid w:val="00871298"/>
    <w:rsid w:val="00872540"/>
    <w:rsid w:val="00873FF6"/>
    <w:rsid w:val="008819A3"/>
    <w:rsid w:val="00885093"/>
    <w:rsid w:val="008B6292"/>
    <w:rsid w:val="008B6A16"/>
    <w:rsid w:val="008B6E3F"/>
    <w:rsid w:val="008C567F"/>
    <w:rsid w:val="008E584B"/>
    <w:rsid w:val="008E64DB"/>
    <w:rsid w:val="008F31B8"/>
    <w:rsid w:val="00902026"/>
    <w:rsid w:val="00930AB3"/>
    <w:rsid w:val="00935478"/>
    <w:rsid w:val="009467F8"/>
    <w:rsid w:val="0095584E"/>
    <w:rsid w:val="00963253"/>
    <w:rsid w:val="00972629"/>
    <w:rsid w:val="00982D31"/>
    <w:rsid w:val="009949BE"/>
    <w:rsid w:val="00996E5C"/>
    <w:rsid w:val="009A60D9"/>
    <w:rsid w:val="009A7111"/>
    <w:rsid w:val="009B1FC7"/>
    <w:rsid w:val="009B2640"/>
    <w:rsid w:val="009B3457"/>
    <w:rsid w:val="009C081B"/>
    <w:rsid w:val="009C6B66"/>
    <w:rsid w:val="009D7868"/>
    <w:rsid w:val="009E0D27"/>
    <w:rsid w:val="009E103B"/>
    <w:rsid w:val="009F7B14"/>
    <w:rsid w:val="00A0218E"/>
    <w:rsid w:val="00A02C02"/>
    <w:rsid w:val="00A2041C"/>
    <w:rsid w:val="00A26F97"/>
    <w:rsid w:val="00A35E2F"/>
    <w:rsid w:val="00A36A6B"/>
    <w:rsid w:val="00A52CE7"/>
    <w:rsid w:val="00A53167"/>
    <w:rsid w:val="00A60E5A"/>
    <w:rsid w:val="00A61B58"/>
    <w:rsid w:val="00A62445"/>
    <w:rsid w:val="00A636DB"/>
    <w:rsid w:val="00A653BF"/>
    <w:rsid w:val="00A75DB6"/>
    <w:rsid w:val="00A8375B"/>
    <w:rsid w:val="00A83824"/>
    <w:rsid w:val="00A90461"/>
    <w:rsid w:val="00A93A19"/>
    <w:rsid w:val="00A93D08"/>
    <w:rsid w:val="00A94FBE"/>
    <w:rsid w:val="00A95AC1"/>
    <w:rsid w:val="00A9721D"/>
    <w:rsid w:val="00AA2581"/>
    <w:rsid w:val="00AA2E01"/>
    <w:rsid w:val="00AB419B"/>
    <w:rsid w:val="00AB5AD3"/>
    <w:rsid w:val="00AC15A5"/>
    <w:rsid w:val="00AC3B9D"/>
    <w:rsid w:val="00AC56F0"/>
    <w:rsid w:val="00AD66D6"/>
    <w:rsid w:val="00AE033A"/>
    <w:rsid w:val="00AE3FBD"/>
    <w:rsid w:val="00AE61D8"/>
    <w:rsid w:val="00AE72F2"/>
    <w:rsid w:val="00AF0FD7"/>
    <w:rsid w:val="00AF30F4"/>
    <w:rsid w:val="00AF6931"/>
    <w:rsid w:val="00B0155E"/>
    <w:rsid w:val="00B047BB"/>
    <w:rsid w:val="00B10BA9"/>
    <w:rsid w:val="00B12C19"/>
    <w:rsid w:val="00B14366"/>
    <w:rsid w:val="00B1654E"/>
    <w:rsid w:val="00B209B2"/>
    <w:rsid w:val="00B21EB7"/>
    <w:rsid w:val="00B24D40"/>
    <w:rsid w:val="00B2706C"/>
    <w:rsid w:val="00B3378D"/>
    <w:rsid w:val="00B3435E"/>
    <w:rsid w:val="00B443E0"/>
    <w:rsid w:val="00B534B5"/>
    <w:rsid w:val="00B617C9"/>
    <w:rsid w:val="00B65E51"/>
    <w:rsid w:val="00B709E5"/>
    <w:rsid w:val="00B949C6"/>
    <w:rsid w:val="00B95325"/>
    <w:rsid w:val="00B97A36"/>
    <w:rsid w:val="00BA071A"/>
    <w:rsid w:val="00BA7DDA"/>
    <w:rsid w:val="00BB173A"/>
    <w:rsid w:val="00BB6550"/>
    <w:rsid w:val="00BD53C9"/>
    <w:rsid w:val="00BD7F1B"/>
    <w:rsid w:val="00BF29FC"/>
    <w:rsid w:val="00BF530E"/>
    <w:rsid w:val="00BF5B2B"/>
    <w:rsid w:val="00C0097C"/>
    <w:rsid w:val="00C00A57"/>
    <w:rsid w:val="00C02ED0"/>
    <w:rsid w:val="00C11808"/>
    <w:rsid w:val="00C15A6C"/>
    <w:rsid w:val="00C27D7B"/>
    <w:rsid w:val="00C304C5"/>
    <w:rsid w:val="00C416D9"/>
    <w:rsid w:val="00C519D2"/>
    <w:rsid w:val="00C51AEC"/>
    <w:rsid w:val="00C6070D"/>
    <w:rsid w:val="00C63F81"/>
    <w:rsid w:val="00C6599A"/>
    <w:rsid w:val="00C802E9"/>
    <w:rsid w:val="00C81B19"/>
    <w:rsid w:val="00C949B9"/>
    <w:rsid w:val="00CA1319"/>
    <w:rsid w:val="00CA2968"/>
    <w:rsid w:val="00CB14C6"/>
    <w:rsid w:val="00CB1998"/>
    <w:rsid w:val="00CC1CE4"/>
    <w:rsid w:val="00CD0003"/>
    <w:rsid w:val="00CF1A03"/>
    <w:rsid w:val="00D0662D"/>
    <w:rsid w:val="00D35710"/>
    <w:rsid w:val="00D3780C"/>
    <w:rsid w:val="00D60C35"/>
    <w:rsid w:val="00D63870"/>
    <w:rsid w:val="00D65196"/>
    <w:rsid w:val="00D736BB"/>
    <w:rsid w:val="00D7453E"/>
    <w:rsid w:val="00D75AC8"/>
    <w:rsid w:val="00D7750E"/>
    <w:rsid w:val="00D86184"/>
    <w:rsid w:val="00D878E3"/>
    <w:rsid w:val="00DA1F2C"/>
    <w:rsid w:val="00DE1214"/>
    <w:rsid w:val="00DE58F6"/>
    <w:rsid w:val="00DF2A06"/>
    <w:rsid w:val="00DF7AF7"/>
    <w:rsid w:val="00E03BA9"/>
    <w:rsid w:val="00E1194B"/>
    <w:rsid w:val="00E1595E"/>
    <w:rsid w:val="00E335D0"/>
    <w:rsid w:val="00E35AAE"/>
    <w:rsid w:val="00E40054"/>
    <w:rsid w:val="00E51878"/>
    <w:rsid w:val="00E64AFF"/>
    <w:rsid w:val="00E67879"/>
    <w:rsid w:val="00E81E80"/>
    <w:rsid w:val="00E87153"/>
    <w:rsid w:val="00E87A02"/>
    <w:rsid w:val="00E9592A"/>
    <w:rsid w:val="00EA38FD"/>
    <w:rsid w:val="00EB4401"/>
    <w:rsid w:val="00EB7C41"/>
    <w:rsid w:val="00EC0805"/>
    <w:rsid w:val="00EC1BC2"/>
    <w:rsid w:val="00EC2413"/>
    <w:rsid w:val="00EC3EB5"/>
    <w:rsid w:val="00EC4908"/>
    <w:rsid w:val="00EE0DBC"/>
    <w:rsid w:val="00EE3B31"/>
    <w:rsid w:val="00EE43DE"/>
    <w:rsid w:val="00EF1A2D"/>
    <w:rsid w:val="00EF2153"/>
    <w:rsid w:val="00EF463F"/>
    <w:rsid w:val="00F01CEA"/>
    <w:rsid w:val="00F020F9"/>
    <w:rsid w:val="00F062CE"/>
    <w:rsid w:val="00F06E1D"/>
    <w:rsid w:val="00F10706"/>
    <w:rsid w:val="00F144A7"/>
    <w:rsid w:val="00F31C29"/>
    <w:rsid w:val="00F33D17"/>
    <w:rsid w:val="00F42782"/>
    <w:rsid w:val="00F64C06"/>
    <w:rsid w:val="00F64E68"/>
    <w:rsid w:val="00F657E6"/>
    <w:rsid w:val="00F722B9"/>
    <w:rsid w:val="00F74664"/>
    <w:rsid w:val="00F7499D"/>
    <w:rsid w:val="00F81212"/>
    <w:rsid w:val="00F85E5F"/>
    <w:rsid w:val="00F919AD"/>
    <w:rsid w:val="00F92951"/>
    <w:rsid w:val="00FA4EE5"/>
    <w:rsid w:val="00FA7E10"/>
    <w:rsid w:val="00FB01F2"/>
    <w:rsid w:val="00FB4157"/>
    <w:rsid w:val="00FB586E"/>
    <w:rsid w:val="00FB5929"/>
    <w:rsid w:val="00FC125B"/>
    <w:rsid w:val="00FD25FF"/>
    <w:rsid w:val="00FD2C31"/>
    <w:rsid w:val="00FD7430"/>
    <w:rsid w:val="00FE0810"/>
    <w:rsid w:val="00FE67CE"/>
    <w:rsid w:val="00FE7743"/>
    <w:rsid w:val="00FF362B"/>
    <w:rsid w:val="043E312E"/>
    <w:rsid w:val="04904644"/>
    <w:rsid w:val="068BC03D"/>
    <w:rsid w:val="06B62DD7"/>
    <w:rsid w:val="08B778E3"/>
    <w:rsid w:val="0A01CA28"/>
    <w:rsid w:val="0B453459"/>
    <w:rsid w:val="0F79C202"/>
    <w:rsid w:val="104E0EB7"/>
    <w:rsid w:val="13FA44C2"/>
    <w:rsid w:val="193416B4"/>
    <w:rsid w:val="1C63CF26"/>
    <w:rsid w:val="1CC118DD"/>
    <w:rsid w:val="1D3B4F37"/>
    <w:rsid w:val="1E8F37C2"/>
    <w:rsid w:val="2364761C"/>
    <w:rsid w:val="24B6AC5A"/>
    <w:rsid w:val="24D4A793"/>
    <w:rsid w:val="273B27E2"/>
    <w:rsid w:val="27C6B4B3"/>
    <w:rsid w:val="27C9E1D6"/>
    <w:rsid w:val="286B72D0"/>
    <w:rsid w:val="2BB0AE6F"/>
    <w:rsid w:val="2D10AC8A"/>
    <w:rsid w:val="306DF0CC"/>
    <w:rsid w:val="309FA906"/>
    <w:rsid w:val="31FC66F9"/>
    <w:rsid w:val="3433954F"/>
    <w:rsid w:val="3531C249"/>
    <w:rsid w:val="3691B8D6"/>
    <w:rsid w:val="3AD008BE"/>
    <w:rsid w:val="3C022B8A"/>
    <w:rsid w:val="3D0F1FD9"/>
    <w:rsid w:val="3DC0A98A"/>
    <w:rsid w:val="3E7F5D92"/>
    <w:rsid w:val="4061EA73"/>
    <w:rsid w:val="4F483102"/>
    <w:rsid w:val="507A206D"/>
    <w:rsid w:val="50F3F412"/>
    <w:rsid w:val="53502FFE"/>
    <w:rsid w:val="54224939"/>
    <w:rsid w:val="54329F10"/>
    <w:rsid w:val="57405E84"/>
    <w:rsid w:val="57754776"/>
    <w:rsid w:val="577F580C"/>
    <w:rsid w:val="57F8093D"/>
    <w:rsid w:val="5AF26726"/>
    <w:rsid w:val="5AFEF001"/>
    <w:rsid w:val="61E6C383"/>
    <w:rsid w:val="638E13D2"/>
    <w:rsid w:val="65B1E71F"/>
    <w:rsid w:val="65B9A025"/>
    <w:rsid w:val="6603B758"/>
    <w:rsid w:val="6612F570"/>
    <w:rsid w:val="67BD2AAB"/>
    <w:rsid w:val="6B95BD1B"/>
    <w:rsid w:val="6C7D91D7"/>
    <w:rsid w:val="6D51160A"/>
    <w:rsid w:val="6F8B9778"/>
    <w:rsid w:val="74A07D5C"/>
    <w:rsid w:val="74AA3465"/>
    <w:rsid w:val="7739D62E"/>
    <w:rsid w:val="7821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109E7"/>
  <w15:chartTrackingRefBased/>
  <w15:docId w15:val="{8B104720-75FC-4028-8F42-98D8012C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D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D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D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D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H">
    <w:name w:val="Heading SH"/>
    <w:qFormat/>
    <w:rsid w:val="00763AF8"/>
    <w:rPr>
      <w:rFonts w:ascii="Arial" w:hAnsi="Arial" w:cs="Arial"/>
      <w:b/>
      <w:bCs/>
      <w:color w:val="000000" w:themeColor="text1"/>
      <w:sz w:val="36"/>
    </w:rPr>
  </w:style>
  <w:style w:type="paragraph" w:customStyle="1" w:styleId="SubheadingSH">
    <w:name w:val="Sub heading SH"/>
    <w:basedOn w:val="Normal"/>
    <w:autoRedefine/>
    <w:qFormat/>
    <w:rsid w:val="006D39BC"/>
    <w:pPr>
      <w:spacing w:before="240" w:line="259" w:lineRule="auto"/>
      <w:ind w:left="1440" w:hanging="1440"/>
    </w:pPr>
    <w:rPr>
      <w:rFonts w:ascii="Arial" w:hAnsi="Arial" w:cs="Arial"/>
      <w:b/>
      <w:bCs/>
      <w:color w:val="1AA4A0"/>
      <w:sz w:val="28"/>
      <w:szCs w:val="21"/>
    </w:rPr>
  </w:style>
  <w:style w:type="paragraph" w:customStyle="1" w:styleId="AbbreviationtableSH">
    <w:name w:val="Abbreviation table SH"/>
    <w:basedOn w:val="BodytextSH"/>
    <w:qFormat/>
    <w:rsid w:val="006D39BC"/>
    <w:pPr>
      <w:spacing w:before="0" w:after="60" w:line="240" w:lineRule="auto"/>
    </w:pPr>
    <w:rPr>
      <w:rFonts w:eastAsia="Times New Roman"/>
      <w:kern w:val="0"/>
      <w:sz w:val="18"/>
      <w:u w:color="301159"/>
      <w:lang w:val="en-GB"/>
      <w14:ligatures w14:val="none"/>
    </w:rPr>
  </w:style>
  <w:style w:type="paragraph" w:customStyle="1" w:styleId="ConfidentialSH">
    <w:name w:val="Confidential SH"/>
    <w:basedOn w:val="ThirdlevelheadingSH"/>
    <w:qFormat/>
    <w:rsid w:val="006D39BC"/>
    <w:rPr>
      <w:kern w:val="0"/>
      <w14:ligatures w14:val="none"/>
    </w:rPr>
  </w:style>
  <w:style w:type="paragraph" w:customStyle="1" w:styleId="DocumentcontroltextSH">
    <w:name w:val="Document control text SH"/>
    <w:basedOn w:val="BodytextSH"/>
    <w:qFormat/>
    <w:rsid w:val="006D39BC"/>
    <w:pPr>
      <w:spacing w:before="60" w:after="60" w:line="240" w:lineRule="auto"/>
    </w:pPr>
    <w:rPr>
      <w:rFonts w:eastAsia="Times New Roman" w:cs="Times New Roman"/>
      <w:color w:val="000000" w:themeColor="text1"/>
      <w:kern w:val="0"/>
      <w:sz w:val="18"/>
      <w:u w:color="301159"/>
      <w14:ligatures w14:val="none"/>
    </w:rPr>
  </w:style>
  <w:style w:type="paragraph" w:customStyle="1" w:styleId="TableheaderrowSH">
    <w:name w:val="Table header row SH"/>
    <w:next w:val="Normal"/>
    <w:autoRedefine/>
    <w:qFormat/>
    <w:rsid w:val="00872540"/>
    <w:pPr>
      <w:shd w:val="solid" w:color="1AA4A0" w:fill="auto"/>
    </w:pPr>
    <w:rPr>
      <w:rFonts w:ascii="Arial" w:eastAsia="Times New Roman" w:hAnsi="Arial" w:cs="Arial"/>
      <w:b/>
      <w:bCs/>
      <w:color w:val="FFFFFF" w:themeColor="background1"/>
      <w:sz w:val="28"/>
      <w:szCs w:val="21"/>
    </w:rPr>
  </w:style>
  <w:style w:type="paragraph" w:customStyle="1" w:styleId="RecommendationinTableSH">
    <w:name w:val="Recommendation in Table SH"/>
    <w:basedOn w:val="Bodytext-emhasisSH"/>
    <w:autoRedefine/>
    <w:qFormat/>
    <w:rsid w:val="006D39BC"/>
    <w:pPr>
      <w:spacing w:before="120" w:after="120"/>
    </w:pPr>
    <w:rPr>
      <w:color w:val="152775"/>
      <w:kern w:val="0"/>
      <w:u w:color="301159"/>
      <w:lang w:val="en-GB"/>
      <w14:ligatures w14:val="none"/>
    </w:rPr>
  </w:style>
  <w:style w:type="paragraph" w:customStyle="1" w:styleId="BodytextSH">
    <w:name w:val="Body text SH"/>
    <w:autoRedefine/>
    <w:qFormat/>
    <w:rsid w:val="006F22B7"/>
    <w:pPr>
      <w:spacing w:before="120" w:after="120" w:line="259" w:lineRule="auto"/>
    </w:pPr>
    <w:rPr>
      <w:rFonts w:ascii="Arial" w:hAnsi="Arial" w:cs="Arial (Body CS)"/>
      <w:sz w:val="22"/>
      <w:lang w:eastAsia="en-AU"/>
    </w:rPr>
  </w:style>
  <w:style w:type="paragraph" w:customStyle="1" w:styleId="TabletextSH">
    <w:name w:val="Table text SH"/>
    <w:autoRedefine/>
    <w:qFormat/>
    <w:rsid w:val="003009E9"/>
    <w:pPr>
      <w:spacing w:after="160" w:line="259" w:lineRule="auto"/>
    </w:pPr>
    <w:rPr>
      <w:rFonts w:ascii="Arial" w:hAnsi="Arial"/>
      <w:i/>
      <w:color w:val="000000" w:themeColor="text1"/>
      <w:sz w:val="22"/>
      <w:szCs w:val="21"/>
    </w:rPr>
  </w:style>
  <w:style w:type="paragraph" w:customStyle="1" w:styleId="FigureTextSH">
    <w:name w:val="Figure Text SH"/>
    <w:autoRedefine/>
    <w:qFormat/>
    <w:rsid w:val="003009E9"/>
    <w:pPr>
      <w:spacing w:before="120" w:after="160" w:line="259" w:lineRule="auto"/>
    </w:pPr>
    <w:rPr>
      <w:rFonts w:ascii="Arial" w:hAnsi="Arial"/>
      <w:i/>
      <w:color w:val="000000" w:themeColor="text1"/>
      <w:sz w:val="20"/>
      <w:szCs w:val="21"/>
    </w:rPr>
  </w:style>
  <w:style w:type="paragraph" w:customStyle="1" w:styleId="Bodytext-emhasisSH">
    <w:name w:val="Body text - emhasis SH"/>
    <w:autoRedefine/>
    <w:qFormat/>
    <w:rsid w:val="00F020F9"/>
    <w:pPr>
      <w:spacing w:after="160" w:line="259" w:lineRule="auto"/>
    </w:pPr>
    <w:rPr>
      <w:rFonts w:ascii="Arial" w:hAnsi="Arial" w:cs="Arial (Body CS)"/>
      <w:b/>
      <w:bCs/>
      <w:sz w:val="22"/>
    </w:rPr>
  </w:style>
  <w:style w:type="paragraph" w:customStyle="1" w:styleId="Tableheaderrow-small-SH">
    <w:name w:val="Table header row - small - SH"/>
    <w:autoRedefine/>
    <w:qFormat/>
    <w:rsid w:val="00872540"/>
    <w:pPr>
      <w:spacing w:after="160" w:line="259" w:lineRule="auto"/>
    </w:pPr>
    <w:rPr>
      <w:rFonts w:ascii="Arial" w:eastAsia="Times New Roman" w:hAnsi="Arial" w:cs="Arial"/>
      <w:b/>
      <w:bCs/>
      <w:color w:val="FFFFFF" w:themeColor="background1"/>
      <w:sz w:val="28"/>
      <w:szCs w:val="21"/>
    </w:rPr>
  </w:style>
  <w:style w:type="paragraph" w:customStyle="1" w:styleId="ConsequenceSH">
    <w:name w:val="Consequence SH"/>
    <w:autoRedefine/>
    <w:qFormat/>
    <w:rsid w:val="00872540"/>
    <w:pPr>
      <w:spacing w:after="160" w:line="259" w:lineRule="auto"/>
    </w:pPr>
    <w:rPr>
      <w:rFonts w:ascii="Arial" w:eastAsia="Times New Roman" w:hAnsi="Arial" w:cs="Arial"/>
      <w:i/>
      <w:color w:val="000000" w:themeColor="text1"/>
      <w:sz w:val="22"/>
      <w:lang w:eastAsia="en-AU"/>
    </w:rPr>
  </w:style>
  <w:style w:type="paragraph" w:customStyle="1" w:styleId="Heading1SH">
    <w:name w:val="Heading 1 SH"/>
    <w:autoRedefine/>
    <w:qFormat/>
    <w:rsid w:val="00872540"/>
    <w:pPr>
      <w:spacing w:before="240" w:after="180"/>
    </w:pPr>
    <w:rPr>
      <w:rFonts w:ascii="Arial" w:hAnsi="Arial" w:cs="Arial"/>
      <w:b/>
      <w:bCs/>
      <w:color w:val="152775"/>
      <w:sz w:val="36"/>
    </w:rPr>
  </w:style>
  <w:style w:type="paragraph" w:customStyle="1" w:styleId="Recommendationlevel1SH">
    <w:name w:val="Recommendation level 1 SH"/>
    <w:basedOn w:val="SubheadingSH"/>
    <w:qFormat/>
    <w:rsid w:val="006D39BC"/>
    <w:pPr>
      <w:spacing w:before="60" w:after="60" w:line="240" w:lineRule="auto"/>
    </w:pPr>
    <w:rPr>
      <w:rFonts w:eastAsia="Times New Roman"/>
      <w:kern w:val="0"/>
      <w:sz w:val="21"/>
      <w:u w:color="301159"/>
      <w:lang w:val="en-GB"/>
      <w14:ligatures w14:val="none"/>
    </w:rPr>
  </w:style>
  <w:style w:type="paragraph" w:customStyle="1" w:styleId="Level4headingSH">
    <w:name w:val="Level 4 heading SH"/>
    <w:autoRedefine/>
    <w:qFormat/>
    <w:rsid w:val="00872540"/>
    <w:pPr>
      <w:spacing w:after="160" w:line="259" w:lineRule="auto"/>
    </w:pPr>
    <w:rPr>
      <w:rFonts w:ascii="Arial" w:hAnsi="Arial" w:cs="Arial (Body CS)"/>
      <w:b/>
      <w:bCs/>
    </w:rPr>
  </w:style>
  <w:style w:type="paragraph" w:customStyle="1" w:styleId="ThirdlevelheadingSH">
    <w:name w:val="Third level heading SH"/>
    <w:basedOn w:val="Normal"/>
    <w:autoRedefine/>
    <w:qFormat/>
    <w:rsid w:val="0066645C"/>
    <w:pPr>
      <w:spacing w:before="240" w:line="259" w:lineRule="auto"/>
    </w:pPr>
    <w:rPr>
      <w:rFonts w:ascii="Arial" w:hAnsi="Arial" w:cs="Arial"/>
      <w:b/>
      <w:bCs/>
      <w:color w:val="152775"/>
      <w:szCs w:val="20"/>
    </w:rPr>
  </w:style>
  <w:style w:type="paragraph" w:customStyle="1" w:styleId="BodytextwhiteSH">
    <w:name w:val="Body text white SH"/>
    <w:basedOn w:val="Normal"/>
    <w:autoRedefine/>
    <w:qFormat/>
    <w:rsid w:val="0066645C"/>
    <w:rPr>
      <w:color w:val="FFFFFF" w:themeColor="background1"/>
    </w:rPr>
  </w:style>
  <w:style w:type="paragraph" w:customStyle="1" w:styleId="Whitetextwithtealaccent-SH">
    <w:name w:val="White text with teal accent - SH"/>
    <w:basedOn w:val="BodytextwhiteSH"/>
    <w:autoRedefine/>
    <w:qFormat/>
    <w:rsid w:val="0066645C"/>
    <w:pPr>
      <w:shd w:val="clear" w:color="auto" w:fill="1AA4A0"/>
    </w:pPr>
  </w:style>
  <w:style w:type="paragraph" w:customStyle="1" w:styleId="Numberedlist-SH">
    <w:name w:val="Numbered list - SH"/>
    <w:basedOn w:val="BodytextSH"/>
    <w:autoRedefine/>
    <w:qFormat/>
    <w:rsid w:val="0066645C"/>
    <w:pPr>
      <w:numPr>
        <w:numId w:val="2"/>
      </w:numPr>
    </w:pPr>
  </w:style>
  <w:style w:type="paragraph" w:customStyle="1" w:styleId="Bodytextsmall-SH">
    <w:name w:val="Body text small -SH"/>
    <w:basedOn w:val="BodytextSH"/>
    <w:rsid w:val="00545DF0"/>
    <w:pPr>
      <w:numPr>
        <w:numId w:val="3"/>
      </w:numPr>
      <w:spacing w:line="240" w:lineRule="auto"/>
    </w:pPr>
    <w:rPr>
      <w:rFonts w:eastAsia="Times New Roman"/>
      <w:kern w:val="0"/>
      <w:sz w:val="16"/>
      <w:szCs w:val="16"/>
      <w14:ligatures w14:val="none"/>
    </w:rPr>
  </w:style>
  <w:style w:type="paragraph" w:customStyle="1" w:styleId="Bulletinatable-SH">
    <w:name w:val="Bullet in a table - SH"/>
    <w:basedOn w:val="Normal"/>
    <w:rsid w:val="006D39BC"/>
    <w:pPr>
      <w:spacing w:after="200" w:line="276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Recommendationlevel2SH">
    <w:name w:val="Recommendation level 2 SH"/>
    <w:basedOn w:val="BodytextSH"/>
    <w:qFormat/>
    <w:rsid w:val="006D39BC"/>
    <w:pPr>
      <w:spacing w:before="60" w:after="60" w:line="240" w:lineRule="auto"/>
    </w:pPr>
    <w:rPr>
      <w:rFonts w:eastAsia="Times New Roman"/>
      <w:kern w:val="0"/>
      <w:sz w:val="20"/>
      <w:u w:color="301159"/>
      <w:lang w:val="en-GB"/>
      <w14:ligatures w14:val="none"/>
    </w:rPr>
  </w:style>
  <w:style w:type="paragraph" w:customStyle="1" w:styleId="BulletSH">
    <w:name w:val="Bullet SH"/>
    <w:rsid w:val="00545DF0"/>
    <w:pPr>
      <w:numPr>
        <w:numId w:val="4"/>
      </w:numPr>
      <w:spacing w:before="120" w:after="120" w:line="259" w:lineRule="auto"/>
      <w:contextualSpacing/>
    </w:pPr>
    <w:rPr>
      <w:rFonts w:ascii="Arial" w:hAnsi="Arial" w:cs="Arial"/>
      <w:bCs/>
      <w:color w:val="000000" w:themeColor="text1"/>
      <w:kern w:val="0"/>
      <w:sz w:val="22"/>
      <w14:ligatures w14:val="none"/>
    </w:rPr>
  </w:style>
  <w:style w:type="paragraph" w:customStyle="1" w:styleId="RecommendationSH">
    <w:name w:val="Recommendation SH"/>
    <w:basedOn w:val="ThirdlevelheadingSH"/>
    <w:qFormat/>
    <w:rsid w:val="006D39BC"/>
    <w:pPr>
      <w:ind w:left="720"/>
    </w:pPr>
    <w:rPr>
      <w:kern w:val="0"/>
      <w14:ligatures w14:val="none"/>
    </w:rPr>
  </w:style>
  <w:style w:type="paragraph" w:customStyle="1" w:styleId="CopyrighttitleSH">
    <w:name w:val="Copyright title SH"/>
    <w:basedOn w:val="SubheadingSH"/>
    <w:rsid w:val="00545DF0"/>
    <w:pPr>
      <w:spacing w:after="200"/>
    </w:pPr>
    <w:rPr>
      <w:kern w:val="0"/>
      <w:sz w:val="24"/>
      <w:szCs w:val="20"/>
      <w14:ligatures w14:val="none"/>
    </w:rPr>
  </w:style>
  <w:style w:type="paragraph" w:customStyle="1" w:styleId="DocumentcontrolheaderSH">
    <w:name w:val="Document control header SH"/>
    <w:basedOn w:val="Heading1SH"/>
    <w:rsid w:val="00545DF0"/>
    <w:rPr>
      <w:kern w:val="0"/>
      <w14:ligatures w14:val="none"/>
    </w:rPr>
  </w:style>
  <w:style w:type="paragraph" w:customStyle="1" w:styleId="FooterSH">
    <w:name w:val="Footer SH"/>
    <w:qFormat/>
    <w:rsid w:val="00545DF0"/>
    <w:pPr>
      <w:pBdr>
        <w:top w:val="single" w:sz="4" w:space="6" w:color="auto"/>
      </w:pBdr>
    </w:pPr>
    <w:rPr>
      <w:rFonts w:ascii="Arial Narrow" w:hAnsi="Arial Narrow" w:cs="Arial"/>
      <w:color w:val="929292"/>
      <w:kern w:val="0"/>
      <w:sz w:val="18"/>
      <w:szCs w:val="18"/>
      <w14:ligatures w14:val="none"/>
    </w:rPr>
  </w:style>
  <w:style w:type="paragraph" w:customStyle="1" w:styleId="FootnoteSH">
    <w:name w:val="Footnote SH"/>
    <w:basedOn w:val="Normal"/>
    <w:rsid w:val="006D39BC"/>
    <w:pPr>
      <w:spacing w:after="200" w:line="259" w:lineRule="auto"/>
      <w:jc w:val="both"/>
    </w:pPr>
    <w:rPr>
      <w:rFonts w:ascii="Arial Narrow" w:eastAsia="Times New Roman" w:hAnsi="Arial Narrow" w:cs="Times New Roman"/>
      <w:kern w:val="0"/>
      <w:sz w:val="16"/>
      <w:szCs w:val="20"/>
      <w:lang w:eastAsia="en-AU"/>
      <w14:ligatures w14:val="none"/>
    </w:rPr>
  </w:style>
  <w:style w:type="paragraph" w:customStyle="1" w:styleId="RecommendationTablebullet">
    <w:name w:val="Recommendation Table bullet"/>
    <w:basedOn w:val="Indicatortablelist-SH"/>
    <w:link w:val="RecommendationTablebulletChar"/>
    <w:qFormat/>
    <w:rsid w:val="006D39BC"/>
    <w:rPr>
      <w:u w:color="301159"/>
      <w:lang w:val="en-GB"/>
    </w:rPr>
  </w:style>
  <w:style w:type="character" w:customStyle="1" w:styleId="RecommendationTablebulletChar">
    <w:name w:val="Recommendation Table bullet Char"/>
    <w:basedOn w:val="DefaultParagraphFont"/>
    <w:link w:val="RecommendationTablebullet"/>
    <w:rsid w:val="006D39BC"/>
    <w:rPr>
      <w:rFonts w:ascii="Arial" w:eastAsia="Times New Roman" w:hAnsi="Arial" w:cs="Arial (Body CS)"/>
      <w:color w:val="000000" w:themeColor="text1"/>
      <w:kern w:val="0"/>
      <w:sz w:val="22"/>
      <w:u w:color="301159"/>
      <w:lang w:val="en-GB" w:eastAsia="en-AU"/>
      <w14:ligatures w14:val="none"/>
    </w:rPr>
  </w:style>
  <w:style w:type="paragraph" w:customStyle="1" w:styleId="Hyperlink-SH">
    <w:name w:val="Hyperlink - SH"/>
    <w:basedOn w:val="BodytextSH"/>
    <w:rsid w:val="00545DF0"/>
    <w:pPr>
      <w:spacing w:line="240" w:lineRule="auto"/>
    </w:pPr>
    <w:rPr>
      <w:rFonts w:eastAsia="Times New Roman"/>
      <w:color w:val="000000" w:themeColor="text1"/>
      <w:kern w:val="0"/>
      <w:u w:val="single" w:color="000000" w:themeColor="text1"/>
      <w14:ligatures w14:val="none"/>
    </w:rPr>
  </w:style>
  <w:style w:type="paragraph" w:customStyle="1" w:styleId="Indicatortableheader-SH">
    <w:name w:val="Indicator table header - SH"/>
    <w:basedOn w:val="Normal"/>
    <w:rsid w:val="00545DF0"/>
    <w:pPr>
      <w:spacing w:before="120" w:after="120" w:line="259" w:lineRule="auto"/>
    </w:pPr>
    <w:rPr>
      <w:rFonts w:ascii="Arial" w:hAnsi="Arial" w:cs="Arial"/>
      <w:b/>
      <w:bCs/>
      <w:color w:val="000000" w:themeColor="text1"/>
      <w:kern w:val="0"/>
      <w:sz w:val="22"/>
      <w14:ligatures w14:val="none"/>
    </w:rPr>
  </w:style>
  <w:style w:type="paragraph" w:customStyle="1" w:styleId="Indicatortablelist-SH">
    <w:name w:val="Indicator table list - SH"/>
    <w:basedOn w:val="BodytextSH"/>
    <w:rsid w:val="00545DF0"/>
    <w:pPr>
      <w:numPr>
        <w:numId w:val="7"/>
      </w:numPr>
      <w:spacing w:line="240" w:lineRule="auto"/>
    </w:pPr>
    <w:rPr>
      <w:rFonts w:eastAsia="Times New Roman"/>
      <w:color w:val="000000" w:themeColor="text1"/>
      <w:kern w:val="0"/>
      <w14:ligatures w14:val="none"/>
    </w:rPr>
  </w:style>
  <w:style w:type="paragraph" w:customStyle="1" w:styleId="KPIBulletinTable-SH">
    <w:name w:val="KPI Bullet in Table - SH"/>
    <w:basedOn w:val="Normal"/>
    <w:rsid w:val="00545DF0"/>
    <w:pPr>
      <w:keepLines/>
      <w:numPr>
        <w:numId w:val="6"/>
      </w:numPr>
      <w:contextualSpacing/>
    </w:pPr>
    <w:rPr>
      <w:rFonts w:ascii="Arial Narrow" w:eastAsia="Times New Roman" w:hAnsi="Arial Narrow" w:cs="Times New Roman"/>
      <w:color w:val="000000"/>
      <w:kern w:val="0"/>
      <w:sz w:val="22"/>
      <w:szCs w:val="18"/>
      <w:lang w:eastAsia="en-AU"/>
      <w14:ligatures w14:val="none"/>
    </w:rPr>
  </w:style>
  <w:style w:type="paragraph" w:customStyle="1" w:styleId="KPItabletext-SH">
    <w:name w:val="KPI table text - SH"/>
    <w:basedOn w:val="Normal"/>
    <w:rsid w:val="006D39BC"/>
    <w:pPr>
      <w:tabs>
        <w:tab w:val="left" w:pos="6663"/>
      </w:tabs>
      <w:spacing w:before="120" w:after="120" w:line="259" w:lineRule="auto"/>
    </w:pPr>
    <w:rPr>
      <w:rFonts w:ascii="Arial Narrow" w:eastAsia="Times New Roman" w:hAnsi="Arial Narrow" w:cs="Times New Roman"/>
      <w:color w:val="000000" w:themeColor="text1"/>
      <w:kern w:val="0"/>
      <w:sz w:val="22"/>
      <w:szCs w:val="22"/>
      <w:lang w:eastAsia="en-AU"/>
      <w14:ligatures w14:val="none"/>
    </w:rPr>
  </w:style>
  <w:style w:type="paragraph" w:customStyle="1" w:styleId="Measurecodetableretired-textsmall-bold-SH">
    <w:name w:val="Measure code table retired - text small - bold -SH"/>
    <w:rsid w:val="00545DF0"/>
    <w:pPr>
      <w:spacing w:after="160" w:line="259" w:lineRule="auto"/>
    </w:pPr>
    <w:rPr>
      <w:rFonts w:ascii="Arial" w:eastAsia="Times New Roman" w:hAnsi="Arial" w:cs="Arial"/>
      <w:b/>
      <w:bCs/>
      <w:color w:val="FF0000"/>
      <w:kern w:val="0"/>
      <w:sz w:val="16"/>
      <w:szCs w:val="16"/>
      <w:lang w:eastAsia="en-AU"/>
      <w14:ligatures w14:val="none"/>
    </w:rPr>
  </w:style>
  <w:style w:type="paragraph" w:customStyle="1" w:styleId="NumberedHeadingLevel1-SH">
    <w:name w:val="Numbered Heading Level 1 - SH"/>
    <w:basedOn w:val="Heading1SH"/>
    <w:rsid w:val="00545DF0"/>
    <w:rPr>
      <w:kern w:val="0"/>
      <w14:ligatures w14:val="none"/>
    </w:rPr>
  </w:style>
  <w:style w:type="paragraph" w:customStyle="1" w:styleId="NumberedSubHeadingLevel2-SH">
    <w:name w:val="Numbered Sub Heading Level 2 - SH"/>
    <w:basedOn w:val="SubheadingSH"/>
    <w:rsid w:val="00545DF0"/>
    <w:pPr>
      <w:tabs>
        <w:tab w:val="left" w:pos="454"/>
      </w:tabs>
      <w:spacing w:after="200"/>
    </w:pPr>
    <w:rPr>
      <w:kern w:val="0"/>
      <w:sz w:val="24"/>
      <w:szCs w:val="20"/>
      <w14:ligatures w14:val="none"/>
    </w:rPr>
  </w:style>
  <w:style w:type="paragraph" w:customStyle="1" w:styleId="Numberedthirdlevelheading-SH">
    <w:name w:val="Numbered third level heading - SH"/>
    <w:basedOn w:val="Normal"/>
    <w:rsid w:val="00545DF0"/>
    <w:pPr>
      <w:spacing w:before="240" w:after="200" w:line="259" w:lineRule="auto"/>
      <w:ind w:left="567" w:hanging="567"/>
    </w:pPr>
    <w:rPr>
      <w:rFonts w:ascii="Arial" w:hAnsi="Arial" w:cs="Arial"/>
      <w:b/>
      <w:bCs/>
      <w:color w:val="929292"/>
      <w:kern w:val="0"/>
      <w:szCs w:val="20"/>
      <w14:ligatures w14:val="none"/>
    </w:rPr>
  </w:style>
  <w:style w:type="paragraph" w:customStyle="1" w:styleId="Retiredindicatortext-SH">
    <w:name w:val="Retired indicator text - SH"/>
    <w:basedOn w:val="BodytextSH"/>
    <w:rsid w:val="00545DF0"/>
    <w:pPr>
      <w:spacing w:line="240" w:lineRule="auto"/>
    </w:pPr>
    <w:rPr>
      <w:rFonts w:eastAsia="Times New Roman"/>
      <w:b/>
      <w:color w:val="FF0000"/>
      <w:kern w:val="0"/>
      <w14:ligatures w14:val="none"/>
    </w:rPr>
  </w:style>
  <w:style w:type="paragraph" w:customStyle="1" w:styleId="TableheadingSH">
    <w:name w:val="Table heading SH"/>
    <w:basedOn w:val="Heading1SH"/>
    <w:rsid w:val="00545DF0"/>
    <w:pPr>
      <w:framePr w:hSpace="180" w:wrap="around" w:vAnchor="text" w:hAnchor="margin" w:xAlign="center" w:y="222"/>
      <w:jc w:val="center"/>
    </w:pPr>
    <w:rPr>
      <w:rFonts w:eastAsia="Times New Roman"/>
      <w:kern w:val="0"/>
      <w14:ligatures w14:val="none"/>
    </w:rPr>
  </w:style>
  <w:style w:type="paragraph" w:customStyle="1" w:styleId="TableversionhistoryheadingSH">
    <w:name w:val="Table version history heading SH"/>
    <w:basedOn w:val="SubheadingSH"/>
    <w:qFormat/>
    <w:rsid w:val="00545DF0"/>
    <w:pPr>
      <w:spacing w:after="200"/>
    </w:pPr>
    <w:rPr>
      <w:kern w:val="0"/>
      <w:sz w:val="24"/>
      <w:szCs w:val="20"/>
      <w14:ligatures w14:val="none"/>
    </w:rPr>
  </w:style>
  <w:style w:type="paragraph" w:customStyle="1" w:styleId="ThirdlevelsubheadingSH">
    <w:name w:val="Third level sub heading SH"/>
    <w:basedOn w:val="SubheadingSH"/>
    <w:qFormat/>
    <w:rsid w:val="00545DF0"/>
    <w:pPr>
      <w:spacing w:after="200"/>
    </w:pPr>
    <w:rPr>
      <w:color w:val="929292"/>
      <w:kern w:val="0"/>
      <w:sz w:val="24"/>
      <w:szCs w:val="20"/>
      <w14:ligatures w14:val="none"/>
    </w:rPr>
  </w:style>
  <w:style w:type="paragraph" w:customStyle="1" w:styleId="TitlePage1SH">
    <w:name w:val="Title Page 1 SH"/>
    <w:basedOn w:val="Heading1SH"/>
    <w:qFormat/>
    <w:rsid w:val="00545DF0"/>
    <w:rPr>
      <w:kern w:val="0"/>
      <w:sz w:val="56"/>
      <w:szCs w:val="44"/>
      <w14:ligatures w14:val="none"/>
    </w:rPr>
  </w:style>
  <w:style w:type="paragraph" w:customStyle="1" w:styleId="TitlePage2SH">
    <w:name w:val="Title Page 2 SH"/>
    <w:basedOn w:val="TitlePage1SH"/>
    <w:qFormat/>
    <w:rsid w:val="00545DF0"/>
    <w:rPr>
      <w:color w:val="1AA4A0"/>
    </w:rPr>
  </w:style>
  <w:style w:type="paragraph" w:styleId="TOC1">
    <w:name w:val="toc 1"/>
    <w:aliases w:val="TOC 1 SH"/>
    <w:next w:val="Normal"/>
    <w:uiPriority w:val="39"/>
    <w:qFormat/>
    <w:rsid w:val="00545DF0"/>
    <w:pPr>
      <w:tabs>
        <w:tab w:val="right" w:pos="9055"/>
      </w:tabs>
      <w:spacing w:before="240" w:after="120"/>
    </w:pPr>
    <w:rPr>
      <w:rFonts w:ascii="Arial" w:hAnsi="Arial" w:cstheme="minorHAnsi"/>
      <w:b/>
      <w:bCs/>
      <w:color w:val="000000" w:themeColor="text1"/>
      <w:kern w:val="0"/>
      <w:sz w:val="22"/>
      <w:szCs w:val="20"/>
      <w14:ligatures w14:val="none"/>
    </w:rPr>
  </w:style>
  <w:style w:type="paragraph" w:styleId="TOC2">
    <w:name w:val="toc 2"/>
    <w:aliases w:val="TOC 2 SH"/>
    <w:basedOn w:val="Normal"/>
    <w:next w:val="Normal"/>
    <w:uiPriority w:val="39"/>
    <w:qFormat/>
    <w:rsid w:val="00545DF0"/>
    <w:pPr>
      <w:tabs>
        <w:tab w:val="left" w:pos="284"/>
        <w:tab w:val="right" w:pos="9055"/>
      </w:tabs>
      <w:spacing w:before="240" w:after="120"/>
      <w:ind w:left="238"/>
    </w:pPr>
    <w:rPr>
      <w:rFonts w:ascii="Arial" w:hAnsi="Arial" w:cstheme="minorHAnsi"/>
      <w:iCs/>
      <w:color w:val="000000" w:themeColor="text1"/>
      <w:kern w:val="0"/>
      <w:sz w:val="22"/>
      <w:szCs w:val="20"/>
      <w14:ligatures w14:val="none"/>
    </w:rPr>
  </w:style>
  <w:style w:type="paragraph" w:styleId="TOC3">
    <w:name w:val="toc 3"/>
    <w:aliases w:val="TOC 3 SH"/>
    <w:basedOn w:val="TOC2"/>
    <w:next w:val="Normal"/>
    <w:uiPriority w:val="39"/>
    <w:qFormat/>
    <w:rsid w:val="00545DF0"/>
    <w:pPr>
      <w:tabs>
        <w:tab w:val="left" w:pos="567"/>
      </w:tabs>
      <w:ind w:left="567"/>
    </w:pPr>
    <w:rPr>
      <w:i/>
      <w:iCs w:val="0"/>
    </w:rPr>
  </w:style>
  <w:style w:type="paragraph" w:customStyle="1" w:styleId="Tableheaderrowverysmall">
    <w:name w:val="Table header row very small"/>
    <w:basedOn w:val="Tableheaderrow-small-SH"/>
    <w:qFormat/>
    <w:rsid w:val="006D39BC"/>
    <w:pPr>
      <w:spacing w:before="120" w:after="120" w:line="240" w:lineRule="auto"/>
      <w:jc w:val="center"/>
    </w:pPr>
    <w:rPr>
      <w:rFonts w:ascii="Arial Narrow" w:hAnsi="Arial Narrow"/>
      <w:kern w:val="0"/>
      <w:sz w:val="18"/>
      <w:szCs w:val="18"/>
      <w14:ligatures w14:val="none"/>
    </w:rPr>
  </w:style>
  <w:style w:type="paragraph" w:customStyle="1" w:styleId="TableheaderrowverysmalljustifiedSH">
    <w:name w:val="Table header row very small justified SH"/>
    <w:basedOn w:val="Tableheaderrowverysmall"/>
    <w:qFormat/>
    <w:rsid w:val="006D39BC"/>
    <w:pPr>
      <w:jc w:val="left"/>
    </w:pPr>
  </w:style>
  <w:style w:type="paragraph" w:customStyle="1" w:styleId="TabletextsmallboldSH">
    <w:name w:val="Table text small bold SH"/>
    <w:basedOn w:val="Normal"/>
    <w:qFormat/>
    <w:rsid w:val="006D39BC"/>
    <w:pPr>
      <w:spacing w:before="60" w:after="60"/>
      <w:jc w:val="center"/>
    </w:pPr>
    <w:rPr>
      <w:rFonts w:ascii="Arial" w:eastAsia="Wingdings" w:hAnsi="Arial" w:cs="Arial (Body CS)"/>
      <w:b/>
      <w:bCs/>
      <w:kern w:val="0"/>
      <w:sz w:val="18"/>
      <w:u w:color="301159"/>
      <w:lang w:val="en-GB"/>
      <w14:ligatures w14:val="none"/>
    </w:rPr>
  </w:style>
  <w:style w:type="paragraph" w:customStyle="1" w:styleId="TabletextsmallSH">
    <w:name w:val="Table text small SH"/>
    <w:basedOn w:val="Recommendationlevel2SH"/>
    <w:qFormat/>
    <w:rsid w:val="006D39BC"/>
    <w:rPr>
      <w:rFonts w:eastAsia="Wingdings"/>
      <w:bCs/>
      <w:sz w:val="18"/>
    </w:rPr>
  </w:style>
  <w:style w:type="paragraph" w:customStyle="1" w:styleId="XiconSH">
    <w:name w:val="X icon SH"/>
    <w:basedOn w:val="Normal"/>
    <w:qFormat/>
    <w:rsid w:val="006D39BC"/>
    <w:pPr>
      <w:spacing w:before="60" w:after="60"/>
      <w:jc w:val="center"/>
    </w:pPr>
    <w:rPr>
      <w:rFonts w:ascii="Wingdings" w:eastAsia="Wingdings" w:hAnsi="Wingdings" w:cstheme="minorHAnsi"/>
      <w:b/>
      <w:color w:val="FF0000"/>
      <w:kern w:val="0"/>
      <w:sz w:val="22"/>
      <w14:ligatures w14:val="none"/>
    </w:rPr>
  </w:style>
  <w:style w:type="paragraph" w:customStyle="1" w:styleId="AcronymtableSH">
    <w:name w:val="Acronym table SH"/>
    <w:basedOn w:val="BodytextSH"/>
    <w:qFormat/>
    <w:rsid w:val="006D39BC"/>
    <w:pPr>
      <w:spacing w:before="60" w:line="240" w:lineRule="auto"/>
    </w:pPr>
    <w:rPr>
      <w:rFonts w:eastAsia="Times New Roman" w:cs="Times New Roman"/>
      <w:color w:val="000000" w:themeColor="text1"/>
      <w:kern w:val="0"/>
      <w14:ligatures w14:val="none"/>
    </w:rPr>
  </w:style>
  <w:style w:type="paragraph" w:customStyle="1" w:styleId="BodytextitalicSH">
    <w:name w:val="Body text italic SH"/>
    <w:basedOn w:val="BodytextSH"/>
    <w:qFormat/>
    <w:rsid w:val="006D39BC"/>
    <w:pPr>
      <w:spacing w:line="240" w:lineRule="auto"/>
    </w:pPr>
    <w:rPr>
      <w:rFonts w:eastAsia="Times New Roman" w:cs="Times New Roman"/>
      <w:i/>
      <w:color w:val="000000" w:themeColor="text1"/>
      <w:kern w:val="0"/>
      <w14:ligatures w14:val="none"/>
    </w:rPr>
  </w:style>
  <w:style w:type="paragraph" w:customStyle="1" w:styleId="Codingtablecentredcontent-SH">
    <w:name w:val="Coding table centred content - SH"/>
    <w:basedOn w:val="Normal"/>
    <w:qFormat/>
    <w:rsid w:val="006D39BC"/>
    <w:pPr>
      <w:jc w:val="center"/>
    </w:pPr>
    <w:rPr>
      <w:rFonts w:ascii="Arial" w:eastAsia="Times New Roman" w:hAnsi="Arial" w:cs="Calibri"/>
      <w:kern w:val="0"/>
      <w:sz w:val="20"/>
      <w:szCs w:val="16"/>
      <w:lang w:eastAsia="en-AU"/>
      <w14:ligatures w14:val="none"/>
    </w:rPr>
  </w:style>
  <w:style w:type="paragraph" w:customStyle="1" w:styleId="Codingtablecontent-SH">
    <w:name w:val="Coding table content - SH"/>
    <w:basedOn w:val="Normal"/>
    <w:qFormat/>
    <w:rsid w:val="006D39BC"/>
    <w:rPr>
      <w:rFonts w:ascii="Arial" w:eastAsia="Times New Roman" w:hAnsi="Arial" w:cs="Calibri"/>
      <w:kern w:val="0"/>
      <w:sz w:val="20"/>
      <w:lang w:eastAsia="en-AU"/>
      <w14:ligatures w14:val="none"/>
    </w:rPr>
  </w:style>
  <w:style w:type="paragraph" w:customStyle="1" w:styleId="Codingtableheader-SH">
    <w:name w:val="Coding table header - SH"/>
    <w:basedOn w:val="Bodytext-emhasisSH"/>
    <w:qFormat/>
    <w:rsid w:val="006D39BC"/>
    <w:pPr>
      <w:snapToGrid w:val="0"/>
      <w:spacing w:before="60" w:after="60" w:line="240" w:lineRule="auto"/>
      <w:jc w:val="center"/>
    </w:pPr>
    <w:rPr>
      <w:color w:val="000000" w:themeColor="text1"/>
      <w:kern w:val="0"/>
      <w:sz w:val="20"/>
      <w:lang w:val="en-US" w:eastAsia="en-AU"/>
      <w14:ligatures w14:val="none"/>
    </w:rPr>
  </w:style>
  <w:style w:type="paragraph" w:customStyle="1" w:styleId="Condensedtextfortable-SH">
    <w:name w:val="Condensed text for table - SH"/>
    <w:basedOn w:val="BodytextSH"/>
    <w:qFormat/>
    <w:rsid w:val="006D39BC"/>
    <w:pPr>
      <w:spacing w:before="60" w:after="60" w:line="240" w:lineRule="auto"/>
    </w:pPr>
    <w:rPr>
      <w:rFonts w:eastAsia="Times New Roman" w:cs="Times New Roman"/>
      <w:color w:val="000000" w:themeColor="text1"/>
      <w:kern w:val="0"/>
      <w:sz w:val="18"/>
      <w:szCs w:val="18"/>
      <w14:ligatures w14:val="none"/>
    </w:rPr>
  </w:style>
  <w:style w:type="paragraph" w:customStyle="1" w:styleId="Documentcontroltableheaderrow">
    <w:name w:val="Document control table header row"/>
    <w:basedOn w:val="TableheaderrowSH"/>
    <w:qFormat/>
    <w:rsid w:val="006D39BC"/>
    <w:rPr>
      <w:bCs w:val="0"/>
      <w:kern w:val="0"/>
      <w:sz w:val="24"/>
      <w14:ligatures w14:val="none"/>
    </w:rPr>
  </w:style>
  <w:style w:type="paragraph" w:customStyle="1" w:styleId="HeadingDocumentControlSH">
    <w:name w:val="Heading Document Control SH"/>
    <w:basedOn w:val="Heading1SH"/>
    <w:qFormat/>
    <w:rsid w:val="006D39BC"/>
    <w:rPr>
      <w:kern w:val="0"/>
      <w14:ligatures w14:val="none"/>
    </w:rPr>
  </w:style>
  <w:style w:type="paragraph" w:customStyle="1" w:styleId="Measurecodetable-textsmall-bold-SH">
    <w:name w:val="Measure code table - text small - bold - SH"/>
    <w:basedOn w:val="Normal"/>
    <w:qFormat/>
    <w:rsid w:val="006D39BC"/>
    <w:pPr>
      <w:spacing w:before="60" w:after="60"/>
    </w:pPr>
    <w:rPr>
      <w:rFonts w:ascii="Arial" w:eastAsia="Times New Roman" w:hAnsi="Arial" w:cs="Arial"/>
      <w:b/>
      <w:bCs/>
      <w:color w:val="000000" w:themeColor="text1"/>
      <w:kern w:val="0"/>
      <w:sz w:val="16"/>
      <w:szCs w:val="16"/>
      <w:lang w:eastAsia="en-AU"/>
      <w14:ligatures w14:val="none"/>
    </w:rPr>
  </w:style>
  <w:style w:type="paragraph" w:customStyle="1" w:styleId="Measurecodetable-textsmall-SH">
    <w:name w:val="Measure code table - text small - SH"/>
    <w:basedOn w:val="Normal"/>
    <w:qFormat/>
    <w:rsid w:val="006D39BC"/>
    <w:pPr>
      <w:spacing w:before="60" w:after="60"/>
    </w:pPr>
    <w:rPr>
      <w:rFonts w:ascii="Arial" w:eastAsia="Times New Roman" w:hAnsi="Arial" w:cs="Times New Roman"/>
      <w:color w:val="000000" w:themeColor="text1"/>
      <w:kern w:val="0"/>
      <w:sz w:val="16"/>
      <w:szCs w:val="16"/>
      <w:lang w:eastAsia="en-AU"/>
      <w14:ligatures w14:val="none"/>
    </w:rPr>
  </w:style>
  <w:style w:type="paragraph" w:customStyle="1" w:styleId="Smalltext-SH">
    <w:name w:val="Small text - SH"/>
    <w:basedOn w:val="BodytextSH"/>
    <w:qFormat/>
    <w:rsid w:val="006D39BC"/>
    <w:pPr>
      <w:spacing w:before="60" w:after="60" w:line="240" w:lineRule="auto"/>
    </w:pPr>
    <w:rPr>
      <w:rFonts w:eastAsia="Times New Roman" w:cs="Times New Roman"/>
      <w:color w:val="000000" w:themeColor="text1"/>
      <w:kern w:val="0"/>
      <w:sz w:val="21"/>
      <w:szCs w:val="22"/>
      <w14:ligatures w14:val="none"/>
    </w:rPr>
  </w:style>
  <w:style w:type="paragraph" w:customStyle="1" w:styleId="Tableheader-smallbold-SH">
    <w:name w:val="Table header - small bold - SH"/>
    <w:basedOn w:val="Normal"/>
    <w:qFormat/>
    <w:rsid w:val="006D39BC"/>
    <w:pPr>
      <w:tabs>
        <w:tab w:val="left" w:pos="3727"/>
      </w:tabs>
      <w:spacing w:before="60" w:after="60" w:line="259" w:lineRule="auto"/>
      <w:jc w:val="center"/>
    </w:pPr>
    <w:rPr>
      <w:rFonts w:ascii="Arial Narrow" w:eastAsiaTheme="minorEastAsia" w:hAnsi="Arial Narrow"/>
      <w:b/>
      <w:bCs/>
      <w:color w:val="FFFFFF" w:themeColor="background1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B5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D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D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DB3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2B5DB3"/>
  </w:style>
  <w:style w:type="character" w:styleId="Hyperlink">
    <w:name w:val="Hyperlink"/>
    <w:basedOn w:val="DefaultParagraphFont"/>
    <w:uiPriority w:val="99"/>
    <w:unhideWhenUsed/>
    <w:rsid w:val="003729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9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66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6D6"/>
  </w:style>
  <w:style w:type="paragraph" w:styleId="Footer">
    <w:name w:val="footer"/>
    <w:basedOn w:val="Normal"/>
    <w:link w:val="FooterChar"/>
    <w:uiPriority w:val="99"/>
    <w:unhideWhenUsed/>
    <w:rsid w:val="00AD66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6D6"/>
  </w:style>
  <w:style w:type="character" w:styleId="CommentReference">
    <w:name w:val="annotation reference"/>
    <w:basedOn w:val="DefaultParagraphFont"/>
    <w:uiPriority w:val="99"/>
    <w:semiHidden/>
    <w:unhideWhenUsed/>
    <w:rsid w:val="00243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8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8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8D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E72F2"/>
    <w:rPr>
      <w:b/>
      <w:bCs/>
    </w:rPr>
  </w:style>
  <w:style w:type="paragraph" w:customStyle="1" w:styleId="xmsonormal">
    <w:name w:val="x_msonormal"/>
    <w:basedOn w:val="Normal"/>
    <w:rsid w:val="00B65E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markd3myj7g0v">
    <w:name w:val="markd3myj7g0v"/>
    <w:basedOn w:val="DefaultParagraphFont"/>
    <w:rsid w:val="00B65E51"/>
  </w:style>
  <w:style w:type="character" w:styleId="Emphasis">
    <w:name w:val="Emphasis"/>
    <w:basedOn w:val="DefaultParagraphFont"/>
    <w:uiPriority w:val="20"/>
    <w:qFormat/>
    <w:rsid w:val="00BA071A"/>
    <w:rPr>
      <w:i/>
      <w:iCs/>
    </w:rPr>
  </w:style>
  <w:style w:type="paragraph" w:styleId="Revision">
    <w:name w:val="Revision"/>
    <w:hidden/>
    <w:uiPriority w:val="99"/>
    <w:semiHidden/>
    <w:rsid w:val="004E2283"/>
  </w:style>
  <w:style w:type="character" w:styleId="FollowedHyperlink">
    <w:name w:val="FollowedHyperlink"/>
    <w:basedOn w:val="DefaultParagraphFont"/>
    <w:uiPriority w:val="99"/>
    <w:semiHidden/>
    <w:unhideWhenUsed/>
    <w:rsid w:val="00873FF6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86027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dicaldirector.com/support/product-updates/clinical/medicaldirector-insights-1-9-2-update" TargetMode="External"/><Relationship Id="rId18" Type="http://schemas.openxmlformats.org/officeDocument/2006/relationships/hyperlink" Target="https://www.aihw.gov.au/about-our-data/our-data-collections/national-key-performance-indicators/about-nkpi-collection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kb.bpsoftware.net/docs/BpPremier_OSRandnKPIMappingsReference.pdf" TargetMode="External"/><Relationship Id="rId17" Type="http://schemas.openxmlformats.org/officeDocument/2006/relationships/hyperlink" Target="https://dataportal.health.gov.au/wps/portal/dataportalcontent/usersupport/userhelpihdr/!ut/p/z1/nZHNUsIwFEZfRRYsM_f2l7Ks4EjBynQUS7Nh0jbQODQtbUDx6U3FcdxYR7P7Jic3X06AwhqoZCexY0pUku11Tqi7cYJFgDaaCwynNvpjx4nGToDeYgTxB4A_LB-B9p9_Agq0zkQOCVpuzg00yHjLMmJzzyAMLU5S104zL01ZlnodnUlVqwKSnClWV41i-6uskopLNcT23CpeDvHY8qY91t32JRR8X4sibz4L9zSi_e-Juwr9SKKvGG2M5QRncxvvlo-2gxFG5s10ZiCaesZJ8BdYyaopteOHPyqYIcx_06r_TTwfDtTXujo3rwrW__OlJ5lNOAl3uiNTBRFyW8H6G38JX3xdrkrPOhP5dn1PbmOv9QeDd7PQmks!/dz/d5/L2dBISEvZ0FBIS9nQSEh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dataportal.health.gov.au/" TargetMode="External"/><Relationship Id="rId20" Type="http://schemas.openxmlformats.org/officeDocument/2006/relationships/hyperlink" Target="https://dataportal.health.gov.au/wps/portal/dataportalcontent/usersupport/userhelpihdr/!ut/p/z1/nZHNUoMwFEZfxS66zOTyW1hi6wilWDtaKdl0AqQlDgQKabU-vcE6jhtxNLtvcnLz5QQTvMFE0BPfU8lrQUuVE2JvrSAMwAQ9hGhmguda1sq1AnDCCY4_APhheYDJ8PknTDBpMp7jBAw7ZxpoyN3RDJnM0RAFg6HUNtPMSVOapU5PZ0I2ssBJTiVt6lbS8iqrhWRCjqE7d5JVYzh2rO2OTb99CQUrG17k7WfhgUZk-D1xX2EYSdQVk622nII_N2GxfDQtWMFKv5n5GoCuZpw4e8FrUbeVcvzwRwU-4PlvWtW_6W00jfZqMpUF4mJX4803K5fwZUXx_PlwIJ7S27t8VcD__DbVunKMMxJv13foNr5feKPRO3o3sRg!/dz/d5/L2dBISEvZ0FBIS9nQSEh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solvinghealth.au/specifications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eteor.aihw.gov.au/content/80154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nual.mmex.net.au/manual:nkpiandosr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23f03-e0b9-4a3d-870d-1dbcb4637ef8" xsi:nil="true"/>
    <lcf76f155ced4ddcb4097134ff3c332f xmlns="147b53b7-e685-4566-9d7c-b596e8f310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A1EF1CB65544895A61AF941E2081E" ma:contentTypeVersion="15" ma:contentTypeDescription="Create a new document." ma:contentTypeScope="" ma:versionID="7aaca95015d586e46a8cb7140dabbf1b">
  <xsd:schema xmlns:xsd="http://www.w3.org/2001/XMLSchema" xmlns:xs="http://www.w3.org/2001/XMLSchema" xmlns:p="http://schemas.microsoft.com/office/2006/metadata/properties" xmlns:ns2="147b53b7-e685-4566-9d7c-b596e8f31032" xmlns:ns3="8b623f03-e0b9-4a3d-870d-1dbcb4637ef8" targetNamespace="http://schemas.microsoft.com/office/2006/metadata/properties" ma:root="true" ma:fieldsID="e631f7b37582b2fa9fc52e76e0651dd2" ns2:_="" ns3:_="">
    <xsd:import namespace="147b53b7-e685-4566-9d7c-b596e8f31032"/>
    <xsd:import namespace="8b623f03-e0b9-4a3d-870d-1dbcb4637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b53b7-e685-4566-9d7c-b596e8f31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d9e39e-283c-4b17-87e4-e20b216b3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23f03-e0b9-4a3d-870d-1dbcb4637e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17c4d8-22bf-4ba5-b235-142aa73dc5ea}" ma:internalName="TaxCatchAll" ma:showField="CatchAllData" ma:web="8b623f03-e0b9-4a3d-870d-1dbcb4637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67303F-5453-415A-97BB-24470AE2F73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47b53b7-e685-4566-9d7c-b596e8f31032"/>
    <ds:schemaRef ds:uri="8b623f03-e0b9-4a3d-870d-1dbcb4637ef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4AA51E-B8BC-354E-BC22-F57A5E3CF4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DC75CD-4329-48F0-AD4D-1341BE070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b53b7-e685-4566-9d7c-b596e8f31032"/>
    <ds:schemaRef ds:uri="8b623f03-e0b9-4a3d-870d-1dbcb4637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DB6C56-0AE6-4CE4-93A6-1BF1FA582F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1275</Words>
  <Characters>7268</Characters>
  <Application>Microsoft Office Word</Application>
  <DocSecurity>0</DocSecurity>
  <Lines>60</Lines>
  <Paragraphs>17</Paragraphs>
  <ScaleCrop>false</ScaleCrop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article_CIS User Guides_fina</dc:title>
  <dc:subject/>
  <cp:keywords/>
  <dc:description/>
  <cp:revision>3</cp:revision>
  <dcterms:created xsi:type="dcterms:W3CDTF">2025-07-29T05:31:00Z</dcterms:created>
  <dcterms:modified xsi:type="dcterms:W3CDTF">2025-07-29T05:32:00Z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0x010100ACAA1EF1CB65544895A61AF941E2081E</vt:lpwstr>
  </property>
  <property fmtid="{D5CDD505-2E9C-101B-9397-08002B2CF9AE}" pid="3" name="MediaServiceImageTags">
    <vt:lpwstr/>
  </property>
</Properties>
</file>