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EC97" w14:textId="1915CF0D" w:rsidR="00D14831" w:rsidRPr="00F735B2" w:rsidRDefault="00D14831" w:rsidP="00F735B2">
      <w:pPr>
        <w:pStyle w:val="QRGText"/>
        <w:sectPr w:rsidR="00D14831" w:rsidRPr="00F735B2" w:rsidSect="00316F6F">
          <w:headerReference w:type="default" r:id="rId7"/>
          <w:footerReference w:type="default" r:id="rId8"/>
          <w:pgSz w:w="11906" w:h="16838" w:code="9"/>
          <w:pgMar w:top="1702" w:right="849" w:bottom="851" w:left="567" w:header="284" w:footer="0" w:gutter="0"/>
          <w:cols w:space="708"/>
          <w:docGrid w:linePitch="360"/>
        </w:sectPr>
      </w:pPr>
    </w:p>
    <w:p w14:paraId="2E003A38" w14:textId="6CD14F74" w:rsidR="00AF58B0" w:rsidRDefault="00AF58B0" w:rsidP="00C9093A">
      <w:pPr>
        <w:pStyle w:val="QRGText"/>
      </w:pPr>
      <w:r>
        <w:t xml:space="preserve">To submit </w:t>
      </w:r>
      <w:r w:rsidR="000E4608">
        <w:t xml:space="preserve">your </w:t>
      </w:r>
      <w:r w:rsidR="00A832F6" w:rsidRPr="00DE71FC">
        <w:t xml:space="preserve">TIS </w:t>
      </w:r>
      <w:r w:rsidR="000E4608" w:rsidRPr="00DE71FC">
        <w:t xml:space="preserve">Performance Report </w:t>
      </w:r>
      <w:r w:rsidR="000E4608">
        <w:t>through</w:t>
      </w:r>
      <w:r>
        <w:t xml:space="preserve"> the </w:t>
      </w:r>
      <w:r w:rsidR="00BA56CB">
        <w:t xml:space="preserve">Data </w:t>
      </w:r>
      <w:r>
        <w:t>Portal</w:t>
      </w:r>
      <w:r w:rsidR="00FF3E4F">
        <w:t xml:space="preserve"> as a </w:t>
      </w:r>
      <w:r w:rsidR="00FF3E4F" w:rsidRPr="00FF3E4F">
        <w:rPr>
          <w:i/>
          <w:iCs/>
        </w:rPr>
        <w:t>Submission Uploader</w:t>
      </w:r>
      <w:r>
        <w:t>:</w:t>
      </w:r>
    </w:p>
    <w:p w14:paraId="59C63642" w14:textId="77777777" w:rsidR="00AF58B0" w:rsidRDefault="00AF58B0" w:rsidP="00AF58B0">
      <w:pPr>
        <w:pStyle w:val="QRGNumbering1"/>
      </w:pPr>
      <w:r>
        <w:t xml:space="preserve">Open the Data Portal through </w:t>
      </w:r>
      <w:hyperlink r:id="rId9" w:history="1">
        <w:r w:rsidR="0062553C">
          <w:rPr>
            <w:rStyle w:val="Hyperlink"/>
          </w:rPr>
          <w:t>Health Data Portal</w:t>
        </w:r>
      </w:hyperlink>
      <w:r>
        <w:t>.</w:t>
      </w:r>
    </w:p>
    <w:p w14:paraId="241C597F" w14:textId="196C5CC3" w:rsidR="00FC1A43" w:rsidRDefault="00FC1A43" w:rsidP="00FC1A43">
      <w:pPr>
        <w:pStyle w:val="QRGNumbering1"/>
      </w:pPr>
      <w:r>
        <w:t xml:space="preserve">Log in using the information provided in the </w:t>
      </w:r>
      <w:r w:rsidR="004D4AFE">
        <w:rPr>
          <w:i/>
        </w:rPr>
        <w:t xml:space="preserve">Register for and </w:t>
      </w:r>
      <w:proofErr w:type="gramStart"/>
      <w:r w:rsidR="004D4AFE">
        <w:rPr>
          <w:i/>
        </w:rPr>
        <w:t>Log</w:t>
      </w:r>
      <w:proofErr w:type="gramEnd"/>
      <w:r w:rsidR="004D4AFE">
        <w:rPr>
          <w:i/>
        </w:rPr>
        <w:t xml:space="preserve"> in</w:t>
      </w:r>
      <w:r>
        <w:rPr>
          <w:i/>
        </w:rPr>
        <w:t xml:space="preserve"> to the Health Data Portal</w:t>
      </w:r>
      <w:r>
        <w:t xml:space="preserve"> QRG.</w:t>
      </w:r>
    </w:p>
    <w:p w14:paraId="6EA2169B" w14:textId="77CC1723" w:rsidR="00396343" w:rsidRDefault="00396343" w:rsidP="00396343">
      <w:pPr>
        <w:pStyle w:val="QRGText"/>
      </w:pPr>
      <w:r>
        <w:t xml:space="preserve">The Data Portal </w:t>
      </w:r>
      <w:r w:rsidR="00951E20">
        <w:t>h</w:t>
      </w:r>
      <w:r>
        <w:t xml:space="preserve">ome screen will display with the </w:t>
      </w:r>
      <w:r w:rsidRPr="00FF3E4F">
        <w:rPr>
          <w:iCs/>
        </w:rPr>
        <w:t>Reporting Dashboard</w:t>
      </w:r>
      <w:r>
        <w:t xml:space="preserve"> open.</w:t>
      </w:r>
    </w:p>
    <w:p w14:paraId="3D8F21C4" w14:textId="1F090C21" w:rsidR="00E17A8C" w:rsidRPr="00E17A8C" w:rsidRDefault="000F648F" w:rsidP="00E17A8C">
      <w:pPr>
        <w:pStyle w:val="QRGPictureCentre"/>
      </w:pPr>
      <w:r>
        <w:drawing>
          <wp:inline distT="0" distB="0" distL="0" distR="0" wp14:anchorId="39231492" wp14:editId="6D1CE281">
            <wp:extent cx="3105785" cy="1675765"/>
            <wp:effectExtent l="19050" t="19050" r="18415" b="19685"/>
            <wp:docPr id="10" name="Picture 10" descr="picture of the Data Portal home screen, showing the highlighted TIS Performance Report in the Reporting Dash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picture of the Data Portal home screen, showing the highlighted TIS Performance Report in the Reporting Dashboar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16757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7B988C" w14:textId="49A4ABC8" w:rsidR="00396343" w:rsidRDefault="00396343" w:rsidP="00396343">
      <w:pPr>
        <w:pStyle w:val="QRGNumbering1"/>
      </w:pPr>
      <w:r>
        <w:t xml:space="preserve">To commence the creation of your </w:t>
      </w:r>
      <w:r w:rsidR="00E17A8C" w:rsidRPr="00DE71FC">
        <w:t xml:space="preserve">TIS </w:t>
      </w:r>
      <w:r w:rsidR="00800A68" w:rsidRPr="00DE71FC">
        <w:t>Performance Report</w:t>
      </w:r>
      <w:r w:rsidRPr="00DE71FC">
        <w:t xml:space="preserve">, </w:t>
      </w:r>
      <w:r>
        <w:t xml:space="preserve">select </w:t>
      </w:r>
      <w:r>
        <w:rPr>
          <w:noProof/>
          <w:lang w:eastAsia="en-AU"/>
        </w:rPr>
        <w:drawing>
          <wp:inline distT="0" distB="0" distL="0" distR="0" wp14:anchorId="227F91C7" wp14:editId="13084055">
            <wp:extent cx="180000" cy="180000"/>
            <wp:effectExtent l="0" t="0" r="0" b="0"/>
            <wp:docPr id="12" name="Picture 12" title="Start Sub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to the right of the </w:t>
      </w:r>
      <w:r w:rsidR="00DE71FC" w:rsidRPr="0064098E">
        <w:rPr>
          <w:b/>
          <w:bCs/>
        </w:rPr>
        <w:t>TIS PR</w:t>
      </w:r>
      <w:r w:rsidR="00DE71FC">
        <w:t xml:space="preserve"> </w:t>
      </w:r>
      <w:r>
        <w:t xml:space="preserve">reporting round </w:t>
      </w:r>
      <w:r w:rsidR="00DE71FC">
        <w:t xml:space="preserve">text in </w:t>
      </w:r>
      <w:r>
        <w:t xml:space="preserve">the </w:t>
      </w:r>
      <w:r w:rsidRPr="00FF3E4F">
        <w:rPr>
          <w:bCs/>
        </w:rPr>
        <w:t>Reporting Dashboard</w:t>
      </w:r>
      <w:r w:rsidR="0036696F">
        <w:rPr>
          <w:b/>
        </w:rPr>
        <w:t xml:space="preserve"> </w:t>
      </w:r>
      <w:r w:rsidR="0036696F">
        <w:t>(</w:t>
      </w:r>
      <w:r w:rsidR="0036696F" w:rsidRPr="0036696F">
        <w:rPr>
          <w:i/>
        </w:rPr>
        <w:t>as highlighted above</w:t>
      </w:r>
      <w:r w:rsidR="00D31104">
        <w:rPr>
          <w:i/>
        </w:rPr>
        <w:t xml:space="preserve"> in red</w:t>
      </w:r>
      <w:r w:rsidR="0036696F">
        <w:t>)</w:t>
      </w:r>
      <w:r>
        <w:t>.</w:t>
      </w:r>
    </w:p>
    <w:p w14:paraId="06FAB000" w14:textId="358DE560" w:rsidR="00DE71FC" w:rsidRDefault="00DE71FC" w:rsidP="00DE71FC">
      <w:pPr>
        <w:pStyle w:val="QRGText"/>
      </w:pPr>
      <w:r>
        <w:t>The TIS Performance Report form will display.</w:t>
      </w:r>
    </w:p>
    <w:p w14:paraId="70DEF732" w14:textId="7BD40E07" w:rsidR="00D347FA" w:rsidRPr="00D347FA" w:rsidRDefault="00FF755E" w:rsidP="00D347FA">
      <w:pPr>
        <w:pStyle w:val="QRGPictureCentre"/>
      </w:pPr>
      <w:r>
        <w:drawing>
          <wp:inline distT="0" distB="0" distL="0" distR="0" wp14:anchorId="33C736F1" wp14:editId="5905B04F">
            <wp:extent cx="3105150" cy="1552575"/>
            <wp:effectExtent l="19050" t="19050" r="19050" b="28575"/>
            <wp:docPr id="15" name="Picture 15" descr="picture of the blank TIS Performance Report form, ready to be comple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picture of the blank TIS Performance Report form, ready to be comple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552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74F2AC" w14:textId="57B7763B" w:rsidR="002478C0" w:rsidRDefault="00350777" w:rsidP="002478C0">
      <w:pPr>
        <w:pStyle w:val="QRGNumbering1"/>
      </w:pPr>
      <w:r>
        <w:t>You can now start entering your</w:t>
      </w:r>
      <w:r w:rsidR="00CE72BC">
        <w:t xml:space="preserve"> </w:t>
      </w:r>
      <w:r w:rsidR="00CE72BC" w:rsidRPr="00DE71FC">
        <w:t>T</w:t>
      </w:r>
      <w:r w:rsidR="00DF33EA" w:rsidRPr="00DE71FC">
        <w:t xml:space="preserve">IS </w:t>
      </w:r>
      <w:r w:rsidRPr="00DE71FC">
        <w:t>Performance Report</w:t>
      </w:r>
      <w:r>
        <w:t xml:space="preserve"> information </w:t>
      </w:r>
      <w:r w:rsidR="002478C0">
        <w:t xml:space="preserve">into the first </w:t>
      </w:r>
      <w:r w:rsidR="00800A68">
        <w:t>section</w:t>
      </w:r>
      <w:r w:rsidR="002478C0">
        <w:t xml:space="preserve"> </w:t>
      </w:r>
      <w:r>
        <w:t>(</w:t>
      </w:r>
      <w:r w:rsidR="00CA794A">
        <w:rPr>
          <w:i/>
          <w:iCs/>
        </w:rPr>
        <w:t>Reporting Contact</w:t>
      </w:r>
      <w:r w:rsidR="00DE71FC">
        <w:rPr>
          <w:i/>
          <w:iCs/>
        </w:rPr>
        <w:t xml:space="preserve"> – Contact Information</w:t>
      </w:r>
      <w:r>
        <w:t xml:space="preserve">) </w:t>
      </w:r>
      <w:r w:rsidR="002478C0">
        <w:t>o</w:t>
      </w:r>
      <w:r w:rsidR="00800A68">
        <w:t>f</w:t>
      </w:r>
      <w:r w:rsidR="002478C0">
        <w:t xml:space="preserve"> the form as needed.</w:t>
      </w:r>
    </w:p>
    <w:p w14:paraId="4303ABB9" w14:textId="50C37031" w:rsidR="0052141A" w:rsidRDefault="00A65838" w:rsidP="0052141A">
      <w:pPr>
        <w:pStyle w:val="QRGText"/>
      </w:pPr>
      <w:r>
        <w:t xml:space="preserve">The following are the sections of the </w:t>
      </w:r>
      <w:r w:rsidR="0053513C" w:rsidRPr="00DE71FC">
        <w:t xml:space="preserve">TIS Performance Report </w:t>
      </w:r>
      <w:r w:rsidR="0053513C">
        <w:t>that need to be completed:</w:t>
      </w:r>
    </w:p>
    <w:p w14:paraId="2884936F" w14:textId="75297AD6" w:rsidR="00F340F4" w:rsidRDefault="00F340F4" w:rsidP="00F340F4">
      <w:pPr>
        <w:pStyle w:val="QRGBullet1"/>
      </w:pPr>
      <w:r w:rsidRPr="0048216E">
        <w:rPr>
          <w:b/>
          <w:bCs/>
        </w:rPr>
        <w:t>Reporting Contact</w:t>
      </w:r>
      <w:r>
        <w:t xml:space="preserve"> – Select the person within your service who will be the primary contact for </w:t>
      </w:r>
      <w:r w:rsidR="00716AD4">
        <w:t>your</w:t>
      </w:r>
      <w:r>
        <w:t xml:space="preserve"> TIS Performance Report.</w:t>
      </w:r>
    </w:p>
    <w:p w14:paraId="7AC50D42" w14:textId="1696DBDB" w:rsidR="00F340F4" w:rsidRDefault="00F10636" w:rsidP="00F340F4">
      <w:pPr>
        <w:pStyle w:val="QRGBullet1"/>
      </w:pPr>
      <w:r w:rsidRPr="00F10636">
        <w:rPr>
          <w:b/>
          <w:bCs/>
        </w:rPr>
        <w:t>TIS Program Information</w:t>
      </w:r>
      <w:r>
        <w:t xml:space="preserve"> </w:t>
      </w:r>
      <w:r w:rsidR="00590BDB">
        <w:t>–</w:t>
      </w:r>
      <w:r>
        <w:t xml:space="preserve"> </w:t>
      </w:r>
      <w:r w:rsidR="00590BDB">
        <w:t>Enter some general information regarding your TIS program</w:t>
      </w:r>
      <w:r w:rsidR="00DE198E">
        <w:t>.</w:t>
      </w:r>
    </w:p>
    <w:p w14:paraId="367F043F" w14:textId="56215597" w:rsidR="0053513C" w:rsidRDefault="00F10636" w:rsidP="0053513C">
      <w:pPr>
        <w:pStyle w:val="QRGBullet1"/>
      </w:pPr>
      <w:r w:rsidRPr="00DC21CC">
        <w:rPr>
          <w:b/>
          <w:bCs/>
        </w:rPr>
        <w:t>Section 1 Activity Reporting</w:t>
      </w:r>
      <w:r>
        <w:t xml:space="preserve"> </w:t>
      </w:r>
      <w:r w:rsidR="00DE198E">
        <w:t>–</w:t>
      </w:r>
      <w:r>
        <w:t xml:space="preserve"> </w:t>
      </w:r>
      <w:r w:rsidR="00DE198E">
        <w:t xml:space="preserve">Enter the detail for each of your activities, including the </w:t>
      </w:r>
      <w:r w:rsidR="00E933C9">
        <w:t>type, design</w:t>
      </w:r>
      <w:r w:rsidR="007159A1">
        <w:t>,</w:t>
      </w:r>
      <w:r w:rsidR="00E933C9">
        <w:t xml:space="preserve"> and delivery of the activity, as well as the </w:t>
      </w:r>
      <w:r w:rsidR="007159A1">
        <w:t>partnerships and monitoring and evaluation outcomes</w:t>
      </w:r>
      <w:r w:rsidR="00726956">
        <w:t xml:space="preserve"> involved in each activity.</w:t>
      </w:r>
      <w:r w:rsidR="00716AD4">
        <w:t xml:space="preserve"> Use</w:t>
      </w:r>
      <w:r w:rsidR="00716AD4">
        <w:rPr>
          <w:noProof/>
        </w:rPr>
        <w:drawing>
          <wp:inline distT="0" distB="0" distL="0" distR="0" wp14:anchorId="7F784AD4" wp14:editId="590623AB">
            <wp:extent cx="1148400" cy="180000"/>
            <wp:effectExtent l="19050" t="19050" r="13970" b="10795"/>
            <wp:docPr id="6" name="Picture 6" descr="the Add Activity Name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he Add Activity Name butt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4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16AD4">
        <w:t xml:space="preserve"> to add each of your activities.</w:t>
      </w:r>
    </w:p>
    <w:p w14:paraId="310B163A" w14:textId="7FB67A3C" w:rsidR="00F10636" w:rsidRDefault="00DC21CC" w:rsidP="0053513C">
      <w:pPr>
        <w:pStyle w:val="QRGBullet1"/>
      </w:pPr>
      <w:r w:rsidRPr="00F520AA">
        <w:rPr>
          <w:b/>
          <w:bCs/>
        </w:rPr>
        <w:t xml:space="preserve">Section 2 </w:t>
      </w:r>
      <w:r w:rsidR="00F520AA" w:rsidRPr="00F520AA">
        <w:rPr>
          <w:b/>
          <w:bCs/>
        </w:rPr>
        <w:t>Cultural Basis</w:t>
      </w:r>
      <w:r w:rsidR="00F520AA">
        <w:t xml:space="preserve"> </w:t>
      </w:r>
      <w:r w:rsidR="00ED1795">
        <w:t>–</w:t>
      </w:r>
      <w:r w:rsidR="00F520AA">
        <w:t xml:space="preserve"> </w:t>
      </w:r>
      <w:r w:rsidR="00C24BAC">
        <w:t xml:space="preserve">Enter </w:t>
      </w:r>
      <w:r w:rsidR="00571366">
        <w:t>information regarding the number of TIS funded positions in your program.</w:t>
      </w:r>
    </w:p>
    <w:p w14:paraId="5B6A1553" w14:textId="028C3F9C" w:rsidR="00ED1795" w:rsidRDefault="00ED1795" w:rsidP="0053513C">
      <w:pPr>
        <w:pStyle w:val="QRGBullet1"/>
      </w:pPr>
      <w:r>
        <w:rPr>
          <w:b/>
          <w:bCs/>
        </w:rPr>
        <w:t xml:space="preserve">Section 3 </w:t>
      </w:r>
      <w:r w:rsidR="00A54122">
        <w:rPr>
          <w:b/>
          <w:bCs/>
        </w:rPr>
        <w:t xml:space="preserve">Engaging with Partners </w:t>
      </w:r>
      <w:r w:rsidR="00A54122">
        <w:t xml:space="preserve">– </w:t>
      </w:r>
      <w:r w:rsidR="00DB19E6">
        <w:t xml:space="preserve">Enter information relating to </w:t>
      </w:r>
      <w:r w:rsidR="00DB19E6" w:rsidRPr="00DB19E6">
        <w:rPr>
          <w:i/>
          <w:iCs/>
        </w:rPr>
        <w:t>Partnerships, Leadership &amp; Advocacy</w:t>
      </w:r>
      <w:r w:rsidR="00DB19E6">
        <w:t xml:space="preserve">, as well as </w:t>
      </w:r>
      <w:r w:rsidR="00EA5C77" w:rsidRPr="00EA5C77">
        <w:rPr>
          <w:i/>
          <w:iCs/>
        </w:rPr>
        <w:t>QUIT Support Partnerships</w:t>
      </w:r>
      <w:r w:rsidR="00EA5C77">
        <w:t>.</w:t>
      </w:r>
    </w:p>
    <w:p w14:paraId="48C29114" w14:textId="3346620A" w:rsidR="00A54122" w:rsidRDefault="00A54122" w:rsidP="0053513C">
      <w:pPr>
        <w:pStyle w:val="QRGBullet1"/>
      </w:pPr>
      <w:r w:rsidRPr="00A54122">
        <w:rPr>
          <w:b/>
          <w:bCs/>
        </w:rPr>
        <w:t>Section 4 Supporting Smoke-free Environments</w:t>
      </w:r>
      <w:r>
        <w:t xml:space="preserve"> </w:t>
      </w:r>
      <w:r w:rsidR="009F3E5C">
        <w:t>–</w:t>
      </w:r>
      <w:r>
        <w:t xml:space="preserve"> </w:t>
      </w:r>
      <w:r w:rsidR="009F3E5C">
        <w:t>Enter information regarding smoke-free organisations, public spaces and homes that are part of your program.</w:t>
      </w:r>
    </w:p>
    <w:p w14:paraId="558E53D0" w14:textId="732F5EF8" w:rsidR="0064098E" w:rsidRDefault="0064098E" w:rsidP="0053513C">
      <w:pPr>
        <w:pStyle w:val="QRGBullet1"/>
      </w:pPr>
      <w:r>
        <w:rPr>
          <w:b/>
          <w:bCs/>
        </w:rPr>
        <w:t xml:space="preserve">Income and Expenditure </w:t>
      </w:r>
      <w:r>
        <w:t xml:space="preserve">– Upload your TIS income and expenditure spreadsheet for the period your TIS PR is covering. </w:t>
      </w:r>
    </w:p>
    <w:p w14:paraId="468A84D4" w14:textId="77777777" w:rsidR="00A65838" w:rsidRDefault="00A65838" w:rsidP="0052141A">
      <w:pPr>
        <w:pStyle w:val="QRGText"/>
      </w:pPr>
    </w:p>
    <w:p w14:paraId="698E8CF2" w14:textId="1FF1BA71" w:rsidR="002478C0" w:rsidRDefault="002478C0" w:rsidP="002478C0">
      <w:pPr>
        <w:pStyle w:val="QRGText"/>
      </w:pPr>
      <w:r>
        <w:t xml:space="preserve">Some tips for completing </w:t>
      </w:r>
      <w:r w:rsidR="00DE71FC">
        <w:t>your</w:t>
      </w:r>
      <w:r w:rsidR="00800A68">
        <w:t xml:space="preserve"> </w:t>
      </w:r>
      <w:r w:rsidR="00CE72BC" w:rsidRPr="00DE71FC">
        <w:t xml:space="preserve">TIS </w:t>
      </w:r>
      <w:r w:rsidR="00800A68" w:rsidRPr="00DE71FC">
        <w:t xml:space="preserve">Performance Report </w:t>
      </w:r>
      <w:r w:rsidR="00800A68">
        <w:t>in the Data Portal</w:t>
      </w:r>
      <w:r>
        <w:t xml:space="preserve"> are:</w:t>
      </w:r>
    </w:p>
    <w:p w14:paraId="1CC1FF4D" w14:textId="365C2EA1" w:rsidR="002478C0" w:rsidRDefault="002478C0" w:rsidP="002478C0">
      <w:pPr>
        <w:pStyle w:val="QRGBullet1"/>
      </w:pPr>
      <w:r>
        <w:t xml:space="preserve">Enter data for each </w:t>
      </w:r>
      <w:r w:rsidR="00350777">
        <w:t>section</w:t>
      </w:r>
      <w:r w:rsidR="000A5BD2">
        <w:t xml:space="preserve"> of the form</w:t>
      </w:r>
      <w:r>
        <w:t xml:space="preserve"> by selecting the applicable tab on the left-hand side of the form.</w:t>
      </w:r>
    </w:p>
    <w:p w14:paraId="142E0E6E" w14:textId="240EE6E2" w:rsidR="00CA794A" w:rsidRDefault="0052141A" w:rsidP="002478C0">
      <w:pPr>
        <w:pStyle w:val="QRGBullet1"/>
      </w:pPr>
      <w:r>
        <w:t xml:space="preserve">You can enter </w:t>
      </w:r>
      <w:r w:rsidR="00CA794A">
        <w:t>15</w:t>
      </w:r>
      <w:r>
        <w:t xml:space="preserve">000 characters (around 800 words) in each </w:t>
      </w:r>
      <w:r w:rsidR="00AD72BE">
        <w:t>text box</w:t>
      </w:r>
      <w:r>
        <w:t xml:space="preserve"> in the form</w:t>
      </w:r>
      <w:r w:rsidR="00CA794A">
        <w:t xml:space="preserve"> so you should be able to fit all the information you need.</w:t>
      </w:r>
    </w:p>
    <w:p w14:paraId="6ABC3621" w14:textId="21ACF998" w:rsidR="003461DB" w:rsidRDefault="00486762" w:rsidP="00486762">
      <w:pPr>
        <w:pStyle w:val="QRGBullet1"/>
      </w:pPr>
      <w:r>
        <w:t xml:space="preserve">When working in the </w:t>
      </w:r>
      <w:r w:rsidRPr="00486762">
        <w:rPr>
          <w:i/>
          <w:iCs/>
        </w:rPr>
        <w:t>Section 1 Activity Reporting</w:t>
      </w:r>
      <w:r w:rsidRPr="00486762">
        <w:t xml:space="preserve"> tab</w:t>
      </w:r>
      <w:r>
        <w:t xml:space="preserve">, you will only be able to work on one section at a time (this is to ensure the information saves more efficiently). The section that is currently editable will be marked with a </w:t>
      </w:r>
      <w:r>
        <w:rPr>
          <w:noProof/>
        </w:rPr>
        <w:drawing>
          <wp:inline distT="0" distB="0" distL="0" distR="0" wp14:anchorId="2AD12BE8" wp14:editId="0859FFBD">
            <wp:extent cx="180000" cy="180000"/>
            <wp:effectExtent l="19050" t="19050" r="10795" b="10795"/>
            <wp:docPr id="8" name="Picture 8" descr="Currently edi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urrently editabl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button. Once you save the information in that section </w:t>
      </w:r>
      <w:r w:rsidR="003461DB">
        <w:t xml:space="preserve">by selecting </w:t>
      </w:r>
      <w:r w:rsidR="003461DB">
        <w:rPr>
          <w:noProof/>
        </w:rPr>
        <w:drawing>
          <wp:inline distT="0" distB="0" distL="0" distR="0" wp14:anchorId="1892C600" wp14:editId="51C29AE2">
            <wp:extent cx="550800" cy="180000"/>
            <wp:effectExtent l="19050" t="19050" r="20955" b="10795"/>
            <wp:docPr id="3" name="Picture 3" title="S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>, all sections of the tab will become editable again, until you start working on the next section</w:t>
      </w:r>
      <w:r w:rsidR="003461DB">
        <w:t>.</w:t>
      </w:r>
    </w:p>
    <w:p w14:paraId="3515ECAA" w14:textId="57DD5866" w:rsidR="00522498" w:rsidRDefault="00522498" w:rsidP="002478C0">
      <w:pPr>
        <w:pStyle w:val="QRGBullet1"/>
      </w:pPr>
      <w:r>
        <w:t xml:space="preserve">You can add comments for your colleagues on any section of the form by selecting </w:t>
      </w:r>
      <w:r>
        <w:rPr>
          <w:noProof/>
          <w:lang w:eastAsia="en-AU"/>
        </w:rPr>
        <w:drawing>
          <wp:inline distT="0" distB="0" distL="0" distR="0" wp14:anchorId="618DC3A8" wp14:editId="1697E418">
            <wp:extent cx="514800" cy="180000"/>
            <wp:effectExtent l="19050" t="19050" r="19050" b="10795"/>
            <wp:docPr id="2" name="Picture 2" title="Create New Com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at the top of the </w:t>
      </w:r>
      <w:r w:rsidRPr="009D2666">
        <w:rPr>
          <w:i/>
        </w:rPr>
        <w:t>Notifications Tray</w:t>
      </w:r>
      <w:r>
        <w:t xml:space="preserve">, adding in the comment </w:t>
      </w:r>
      <w:r>
        <w:lastRenderedPageBreak/>
        <w:t xml:space="preserve">or question for your colleagues and then selecting </w:t>
      </w:r>
      <w:r w:rsidRPr="00522498">
        <w:rPr>
          <w:i/>
          <w:iCs/>
        </w:rPr>
        <w:t>Save</w:t>
      </w:r>
      <w:r>
        <w:t>.</w:t>
      </w:r>
    </w:p>
    <w:p w14:paraId="61951306" w14:textId="75FEAC3A" w:rsidR="00716AD4" w:rsidRDefault="00750409" w:rsidP="002478C0">
      <w:pPr>
        <w:pStyle w:val="QRGBullet1"/>
      </w:pPr>
      <w:r>
        <w:t xml:space="preserve">If a cell is not relevant to your </w:t>
      </w:r>
      <w:r w:rsidRPr="00DE71FC">
        <w:t xml:space="preserve">TIS Performance Report, </w:t>
      </w:r>
      <w:r>
        <w:t xml:space="preserve">you can leave it blank. If the cell is </w:t>
      </w:r>
      <w:r w:rsidRPr="00750409">
        <w:rPr>
          <w:i/>
          <w:iCs/>
        </w:rPr>
        <w:t>optional</w:t>
      </w:r>
      <w:r>
        <w:t>, you will be able to continue completing the report; if the cell is mandatory, a data validation flag will display that you will need to address.</w:t>
      </w:r>
    </w:p>
    <w:p w14:paraId="36F5C786" w14:textId="77777777" w:rsidR="002478C0" w:rsidRDefault="002478C0" w:rsidP="002478C0">
      <w:pPr>
        <w:pStyle w:val="QRGNumbering1"/>
        <w:numPr>
          <w:ilvl w:val="0"/>
          <w:numId w:val="0"/>
        </w:numPr>
        <w:ind w:left="720" w:hanging="360"/>
      </w:pPr>
    </w:p>
    <w:p w14:paraId="0DF4358D" w14:textId="28CF0CD3" w:rsidR="002478C0" w:rsidRDefault="002478C0" w:rsidP="002478C0">
      <w:pPr>
        <w:pStyle w:val="QRGNumbering1"/>
      </w:pPr>
      <w:r>
        <w:t xml:space="preserve">Once the required </w:t>
      </w:r>
      <w:r w:rsidR="00807D54">
        <w:t>information</w:t>
      </w:r>
      <w:r>
        <w:t xml:space="preserve"> has been entered for the first </w:t>
      </w:r>
      <w:r w:rsidR="005D2E49">
        <w:t>section</w:t>
      </w:r>
      <w:r>
        <w:t xml:space="preserve">, select </w:t>
      </w:r>
      <w:r>
        <w:rPr>
          <w:noProof/>
          <w:lang w:eastAsia="en-AU"/>
        </w:rPr>
        <w:drawing>
          <wp:inline distT="0" distB="0" distL="0" distR="0" wp14:anchorId="7FBD830D" wp14:editId="245980B6">
            <wp:extent cx="550800" cy="180000"/>
            <wp:effectExtent l="19050" t="19050" r="20955" b="10795"/>
            <wp:docPr id="17" name="Picture 17" title="S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B67CE">
        <w:t xml:space="preserve"> at the bottom of the form</w:t>
      </w:r>
      <w:r>
        <w:t xml:space="preserve">. </w:t>
      </w:r>
    </w:p>
    <w:p w14:paraId="6CB71BD7" w14:textId="7A3D4E13" w:rsidR="002478C0" w:rsidRDefault="005D2E49" w:rsidP="002478C0">
      <w:pPr>
        <w:pStyle w:val="QRGNumbering1"/>
        <w:numPr>
          <w:ilvl w:val="0"/>
          <w:numId w:val="0"/>
        </w:numPr>
        <w:ind w:left="360"/>
      </w:pPr>
      <w:r>
        <w:t>The simple completeness d</w:t>
      </w:r>
      <w:r w:rsidR="002478C0">
        <w:t>ata validation</w:t>
      </w:r>
      <w:r>
        <w:t>s</w:t>
      </w:r>
      <w:r w:rsidR="002478C0">
        <w:t xml:space="preserve"> will now run on the cells you have completed in the </w:t>
      </w:r>
      <w:r w:rsidR="007D6FD5">
        <w:t>first section of the form,</w:t>
      </w:r>
      <w:r w:rsidR="002478C0">
        <w:t xml:space="preserve"> and if </w:t>
      </w:r>
      <w:r w:rsidR="007D6FD5">
        <w:t xml:space="preserve">any </w:t>
      </w:r>
      <w:r w:rsidR="00716AD4">
        <w:t xml:space="preserve">mandatory </w:t>
      </w:r>
      <w:r w:rsidR="007D6FD5">
        <w:t>cells have been left blank</w:t>
      </w:r>
      <w:r w:rsidR="002478C0">
        <w:t xml:space="preserve">, </w:t>
      </w:r>
      <w:r w:rsidR="007D6FD5">
        <w:t xml:space="preserve">a </w:t>
      </w:r>
      <w:r w:rsidR="00877F51">
        <w:t xml:space="preserve">data validation </w:t>
      </w:r>
      <w:r w:rsidR="005B67CE">
        <w:t>flag</w:t>
      </w:r>
      <w:r w:rsidR="002478C0">
        <w:t xml:space="preserve"> will appear in the </w:t>
      </w:r>
      <w:r w:rsidR="002478C0" w:rsidRPr="009D2666">
        <w:rPr>
          <w:i/>
        </w:rPr>
        <w:t>Notifications Tray</w:t>
      </w:r>
      <w:r w:rsidR="002478C0">
        <w:t>.</w:t>
      </w:r>
    </w:p>
    <w:p w14:paraId="47B3FB18" w14:textId="4CC475EB" w:rsidR="002478C0" w:rsidRDefault="002478C0" w:rsidP="002478C0">
      <w:pPr>
        <w:pStyle w:val="QRGNumbering1"/>
      </w:pPr>
      <w:r>
        <w:t xml:space="preserve">If </w:t>
      </w:r>
      <w:r w:rsidR="007D6FD5">
        <w:t xml:space="preserve">a </w:t>
      </w:r>
      <w:r w:rsidR="00877F51">
        <w:t xml:space="preserve">data </w:t>
      </w:r>
      <w:r>
        <w:t>validation flag ha</w:t>
      </w:r>
      <w:r w:rsidR="007D6FD5">
        <w:t>s</w:t>
      </w:r>
      <w:r>
        <w:t xml:space="preserve"> been generated</w:t>
      </w:r>
      <w:r w:rsidR="007D6FD5">
        <w:t>, you can either respond to the</w:t>
      </w:r>
      <w:r w:rsidRPr="00D00EA7">
        <w:t xml:space="preserve"> message</w:t>
      </w:r>
      <w:r>
        <w:t xml:space="preserve"> in the </w:t>
      </w:r>
      <w:r w:rsidRPr="00FF3E4F">
        <w:rPr>
          <w:bCs/>
        </w:rPr>
        <w:t>Notifications Tray</w:t>
      </w:r>
      <w:r>
        <w:t xml:space="preserve"> </w:t>
      </w:r>
      <w:r w:rsidR="007D6FD5">
        <w:t>explaining why the cell has been left blank or you can complete the empty cell</w:t>
      </w:r>
      <w:r>
        <w:t>.</w:t>
      </w:r>
    </w:p>
    <w:p w14:paraId="5EB4A873" w14:textId="77777777" w:rsidR="002478C0" w:rsidRPr="00CD36B2" w:rsidRDefault="002478C0" w:rsidP="002478C0">
      <w:pPr>
        <w:pStyle w:val="QRGNumbering1"/>
        <w:numPr>
          <w:ilvl w:val="0"/>
          <w:numId w:val="0"/>
        </w:numPr>
        <w:ind w:left="360"/>
      </w:pPr>
      <w:r>
        <w:rPr>
          <w:noProof/>
          <w:lang w:eastAsia="en-AU"/>
        </w:rPr>
        <w:drawing>
          <wp:inline distT="0" distB="0" distL="0" distR="0" wp14:anchorId="18AB9638" wp14:editId="648999D9">
            <wp:extent cx="277200" cy="252000"/>
            <wp:effectExtent l="0" t="0" r="8890" b="0"/>
            <wp:docPr id="483" name="Picture 483" title="No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title="Not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To open the </w:t>
      </w:r>
      <w:r w:rsidRPr="009D2666">
        <w:rPr>
          <w:i/>
        </w:rPr>
        <w:t xml:space="preserve">Notifications </w:t>
      </w:r>
      <w:r w:rsidR="00ED60CC" w:rsidRPr="009D2666">
        <w:rPr>
          <w:i/>
        </w:rPr>
        <w:t>Tray</w:t>
      </w:r>
      <w:r>
        <w:t xml:space="preserve"> if it doesn’t display</w:t>
      </w:r>
      <w:r w:rsidRPr="000C4831">
        <w:t>,</w:t>
      </w:r>
      <w:r>
        <w:rPr>
          <w:b/>
        </w:rPr>
        <w:t xml:space="preserve"> </w:t>
      </w:r>
      <w:r>
        <w:t xml:space="preserve">select </w:t>
      </w:r>
      <w:r>
        <w:rPr>
          <w:noProof/>
          <w:lang w:eastAsia="en-AU"/>
        </w:rPr>
        <w:drawing>
          <wp:inline distT="0" distB="0" distL="0" distR="0" wp14:anchorId="0AB63F74" wp14:editId="0CAD0907">
            <wp:extent cx="180000" cy="180000"/>
            <wp:effectExtent l="19050" t="19050" r="10795" b="10795"/>
            <wp:docPr id="21" name="Picture 21" descr="Open notifications tray - Some comments require 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in the blue </w:t>
      </w:r>
      <w:r w:rsidRPr="005B67CE">
        <w:rPr>
          <w:i/>
        </w:rPr>
        <w:t>Submission Data</w:t>
      </w:r>
      <w:r>
        <w:t xml:space="preserve"> bar at the top of the </w:t>
      </w:r>
      <w:r w:rsidR="0036696F">
        <w:t>form</w:t>
      </w:r>
      <w:r>
        <w:t>.</w:t>
      </w:r>
    </w:p>
    <w:p w14:paraId="01E00389" w14:textId="5F7E4F72" w:rsidR="002478C0" w:rsidRDefault="002478C0" w:rsidP="002478C0">
      <w:pPr>
        <w:pStyle w:val="QRGNumbering1"/>
      </w:pPr>
      <w:r>
        <w:t xml:space="preserve">Repeat the above steps for each </w:t>
      </w:r>
      <w:r w:rsidR="00173713">
        <w:t>section</w:t>
      </w:r>
      <w:r>
        <w:t xml:space="preserve"> o</w:t>
      </w:r>
      <w:r w:rsidR="00173713">
        <w:t>f</w:t>
      </w:r>
      <w:r>
        <w:t xml:space="preserve"> the form as required.</w:t>
      </w:r>
    </w:p>
    <w:p w14:paraId="09F462CF" w14:textId="49D2ECCE" w:rsidR="002478C0" w:rsidRDefault="002478C0" w:rsidP="002478C0">
      <w:pPr>
        <w:pStyle w:val="QRGNumbering1"/>
      </w:pPr>
      <w:r>
        <w:t xml:space="preserve">Once you have finished entering your data into the different </w:t>
      </w:r>
      <w:r w:rsidR="00173713">
        <w:t>sections</w:t>
      </w:r>
      <w:r>
        <w:t xml:space="preserve"> o</w:t>
      </w:r>
      <w:r w:rsidR="00173713">
        <w:t>f</w:t>
      </w:r>
      <w:r>
        <w:t xml:space="preserve"> the form and </w:t>
      </w:r>
      <w:r w:rsidR="0036696F">
        <w:t xml:space="preserve">have </w:t>
      </w:r>
      <w:r>
        <w:t xml:space="preserve">saved the data, select </w:t>
      </w:r>
      <w:r>
        <w:rPr>
          <w:rStyle w:val="QRGNumbering2Char"/>
          <w:noProof/>
          <w:lang w:eastAsia="en-AU"/>
        </w:rPr>
        <w:drawing>
          <wp:inline distT="0" distB="0" distL="0" distR="0" wp14:anchorId="20EF5899" wp14:editId="1926AEB7">
            <wp:extent cx="604800" cy="180000"/>
            <wp:effectExtent l="19050" t="19050" r="24130" b="10795"/>
            <wp:docPr id="29" name="Picture 29" title="Cl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at the bottom of the form.</w:t>
      </w:r>
    </w:p>
    <w:p w14:paraId="7F7F4FFA" w14:textId="0818C255" w:rsidR="00B90669" w:rsidRDefault="00B90669" w:rsidP="00B90669">
      <w:pPr>
        <w:pStyle w:val="QRGText"/>
      </w:pPr>
      <w:r>
        <w:t xml:space="preserve">The Data Portal </w:t>
      </w:r>
      <w:r w:rsidR="00951E20">
        <w:t>h</w:t>
      </w:r>
      <w:r>
        <w:t xml:space="preserve">ome screen will again display with the </w:t>
      </w:r>
      <w:r w:rsidRPr="00FF3E4F">
        <w:t>Reporting Dashboard</w:t>
      </w:r>
      <w:r>
        <w:t xml:space="preserve"> open.</w:t>
      </w:r>
    </w:p>
    <w:p w14:paraId="670EDDF5" w14:textId="3327C0E8" w:rsidR="00B00E3C" w:rsidRDefault="00B00E3C" w:rsidP="00B00E3C">
      <w:pPr>
        <w:pStyle w:val="QRGText"/>
      </w:pPr>
      <w:r>
        <w:rPr>
          <w:noProof/>
        </w:rPr>
        <w:drawing>
          <wp:inline distT="0" distB="0" distL="0" distR="0" wp14:anchorId="4065DFC3" wp14:editId="36AB4BD9">
            <wp:extent cx="277200" cy="252000"/>
            <wp:effectExtent l="0" t="0" r="8890" b="0"/>
            <wp:docPr id="1" name="Picture 1" title="No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title="Not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If </w:t>
      </w:r>
      <w:r w:rsidR="00800A68">
        <w:t xml:space="preserve">needed, you can attach supporting documentation to your </w:t>
      </w:r>
      <w:r w:rsidR="0096690E" w:rsidRPr="00DE71FC">
        <w:t xml:space="preserve">TIS </w:t>
      </w:r>
      <w:r w:rsidR="00800A68" w:rsidRPr="00DE71FC">
        <w:t>Performance Report</w:t>
      </w:r>
      <w:r w:rsidR="00800A68">
        <w:t xml:space="preserve"> </w:t>
      </w:r>
      <w:r w:rsidR="008A7388">
        <w:t xml:space="preserve">(such as your expenditure information) </w:t>
      </w:r>
      <w:r w:rsidR="00800A68">
        <w:t xml:space="preserve">before sending it </w:t>
      </w:r>
      <w:r w:rsidR="008A7388">
        <w:t>on for review</w:t>
      </w:r>
      <w:r w:rsidR="00800A68">
        <w:t xml:space="preserve">. For more information, see the </w:t>
      </w:r>
      <w:r w:rsidR="00800A68" w:rsidRPr="00800A68">
        <w:rPr>
          <w:i/>
          <w:iCs/>
        </w:rPr>
        <w:t xml:space="preserve">Attach a Supporting Document to your </w:t>
      </w:r>
      <w:r w:rsidR="00B20283">
        <w:rPr>
          <w:i/>
          <w:iCs/>
        </w:rPr>
        <w:t xml:space="preserve">TIS </w:t>
      </w:r>
      <w:r w:rsidR="00800A68" w:rsidRPr="00800A68">
        <w:rPr>
          <w:i/>
          <w:iCs/>
        </w:rPr>
        <w:t>Performance Report</w:t>
      </w:r>
      <w:r w:rsidR="00800A68">
        <w:t xml:space="preserve"> QRG.</w:t>
      </w:r>
      <w:r>
        <w:t xml:space="preserve"> </w:t>
      </w:r>
    </w:p>
    <w:p w14:paraId="02746802" w14:textId="077B8EEE" w:rsidR="00B90669" w:rsidRPr="00B90669" w:rsidRDefault="00B90669" w:rsidP="00B90669">
      <w:pPr>
        <w:pStyle w:val="QRGNumbering1"/>
      </w:pPr>
      <w:r w:rsidRPr="00B90669">
        <w:t xml:space="preserve">To progress </w:t>
      </w:r>
      <w:r w:rsidR="00FF3E4F">
        <w:t>your</w:t>
      </w:r>
      <w:r w:rsidRPr="00B90669">
        <w:t xml:space="preserve"> </w:t>
      </w:r>
      <w:r w:rsidR="00B20283" w:rsidRPr="00DE71FC">
        <w:t xml:space="preserve">TIS </w:t>
      </w:r>
      <w:r w:rsidR="000A5BD2" w:rsidRPr="00DE71FC">
        <w:t>Performance Report</w:t>
      </w:r>
      <w:r w:rsidR="00AD7E61">
        <w:t xml:space="preserve"> through the </w:t>
      </w:r>
      <w:r w:rsidR="0036696F">
        <w:t xml:space="preserve">submission </w:t>
      </w:r>
      <w:r w:rsidR="00AD7E61">
        <w:t>workflow</w:t>
      </w:r>
      <w:r w:rsidRPr="00B90669">
        <w:t xml:space="preserve">, select </w:t>
      </w:r>
      <w:r w:rsidRPr="00B90669">
        <w:rPr>
          <w:noProof/>
          <w:lang w:eastAsia="en-AU"/>
        </w:rPr>
        <w:drawing>
          <wp:inline distT="0" distB="0" distL="0" distR="0" wp14:anchorId="10057BA5" wp14:editId="3D652E53">
            <wp:extent cx="1276350" cy="152400"/>
            <wp:effectExtent l="0" t="0" r="0" b="0"/>
            <wp:docPr id="7" name="Picture 7" title="the Draft Submission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BD2">
        <w:t>.</w:t>
      </w:r>
    </w:p>
    <w:p w14:paraId="2CF7A975" w14:textId="77777777" w:rsidR="0064098E" w:rsidRDefault="0064098E" w:rsidP="005C3B6F">
      <w:pPr>
        <w:pStyle w:val="QRGText"/>
      </w:pPr>
    </w:p>
    <w:p w14:paraId="34C00E74" w14:textId="77777777" w:rsidR="0064098E" w:rsidRDefault="0064098E" w:rsidP="005C3B6F">
      <w:pPr>
        <w:pStyle w:val="QRGText"/>
      </w:pPr>
    </w:p>
    <w:p w14:paraId="46C6B4CC" w14:textId="342CC64C" w:rsidR="005C3B6F" w:rsidRDefault="005C3B6F" w:rsidP="005C3B6F">
      <w:pPr>
        <w:pStyle w:val="QRGText"/>
      </w:pPr>
      <w:r>
        <w:t>The Change Data Asset</w:t>
      </w:r>
      <w:r w:rsidR="000E1C31">
        <w:t xml:space="preserve"> Status dialog box will display.</w:t>
      </w:r>
    </w:p>
    <w:p w14:paraId="5012C60F" w14:textId="4591E0D9" w:rsidR="00EB6123" w:rsidRDefault="00D91DE1" w:rsidP="00EB6123">
      <w:pPr>
        <w:pStyle w:val="QRGPictureCentre"/>
      </w:pPr>
      <w:r>
        <w:drawing>
          <wp:inline distT="0" distB="0" distL="0" distR="0" wp14:anchorId="7E15D707" wp14:editId="08516C10">
            <wp:extent cx="3105150" cy="1524000"/>
            <wp:effectExtent l="19050" t="19050" r="19050" b="19050"/>
            <wp:docPr id="11" name="Picture 11" descr="picture of the Data Asset Status Change dialog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picture of the Data Asset Status Change dialog box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524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451705" w14:textId="77777777" w:rsidR="00F2513D" w:rsidRDefault="00F2513D" w:rsidP="00F2513D">
      <w:pPr>
        <w:pStyle w:val="QRGNumbering1"/>
        <w:rPr>
          <w:noProof/>
          <w:lang w:eastAsia="en-AU"/>
        </w:rPr>
      </w:pPr>
      <w:r>
        <w:rPr>
          <w:noProof/>
          <w:lang w:eastAsia="en-AU"/>
        </w:rPr>
        <w:t xml:space="preserve">In the </w:t>
      </w:r>
      <w:r>
        <w:rPr>
          <w:b/>
          <w:noProof/>
          <w:lang w:eastAsia="en-AU"/>
        </w:rPr>
        <w:t>Action</w:t>
      </w:r>
      <w:r>
        <w:rPr>
          <w:noProof/>
          <w:lang w:eastAsia="en-AU"/>
        </w:rPr>
        <w:t xml:space="preserve"> field, select </w:t>
      </w:r>
      <w:r w:rsidR="00B90669">
        <w:rPr>
          <w:noProof/>
          <w:lang w:eastAsia="en-AU"/>
        </w:rPr>
        <w:drawing>
          <wp:inline distT="0" distB="0" distL="0" distR="0" wp14:anchorId="0BCA4228" wp14:editId="6958A051">
            <wp:extent cx="169200" cy="126000"/>
            <wp:effectExtent l="19050" t="19050" r="21590" b="26670"/>
            <wp:docPr id="9" name="Picture 9" title="the down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" cy="126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t xml:space="preserve"> and select the appropriate action.</w:t>
      </w:r>
    </w:p>
    <w:p w14:paraId="24911866" w14:textId="749CF3F0" w:rsidR="006A0022" w:rsidRDefault="006A0022" w:rsidP="00EB6123">
      <w:pPr>
        <w:pStyle w:val="QRGText"/>
      </w:pPr>
      <w:r>
        <w:t>The available actions are:</w:t>
      </w:r>
    </w:p>
    <w:p w14:paraId="6D61C503" w14:textId="12CC0653" w:rsidR="000F79E1" w:rsidRDefault="000F79E1" w:rsidP="000F79E1">
      <w:pPr>
        <w:pStyle w:val="QRGBullet1"/>
        <w:numPr>
          <w:ilvl w:val="0"/>
          <w:numId w:val="20"/>
        </w:numPr>
      </w:pPr>
      <w:r>
        <w:rPr>
          <w:b/>
        </w:rPr>
        <w:t>Request Review</w:t>
      </w:r>
      <w:r>
        <w:t xml:space="preserve"> – Select this action to send </w:t>
      </w:r>
      <w:r w:rsidR="00FF3E4F">
        <w:t>your</w:t>
      </w:r>
      <w:r>
        <w:t xml:space="preserve"> </w:t>
      </w:r>
      <w:r w:rsidR="00671141" w:rsidRPr="00671141">
        <w:rPr>
          <w:i/>
          <w:iCs/>
        </w:rPr>
        <w:t>Submission Reviewer</w:t>
      </w:r>
      <w:r w:rsidR="008A7388">
        <w:t xml:space="preserve"> or NBPU</w:t>
      </w:r>
      <w:r>
        <w:t xml:space="preserve"> for review prior to it being submitted for approval. </w:t>
      </w:r>
    </w:p>
    <w:p w14:paraId="5ACFFAA0" w14:textId="3D433FBA" w:rsidR="007D7428" w:rsidRDefault="007D7428" w:rsidP="007D7428">
      <w:pPr>
        <w:pStyle w:val="QRGBullet1"/>
        <w:numPr>
          <w:ilvl w:val="0"/>
          <w:numId w:val="20"/>
        </w:numPr>
      </w:pPr>
      <w:r>
        <w:rPr>
          <w:b/>
        </w:rPr>
        <w:t xml:space="preserve">Request Approval </w:t>
      </w:r>
      <w:r>
        <w:t xml:space="preserve">– Select this action to send </w:t>
      </w:r>
      <w:r w:rsidR="00FF3E4F">
        <w:t>your</w:t>
      </w:r>
      <w:r>
        <w:t xml:space="preserve"> </w:t>
      </w:r>
      <w:r w:rsidR="00671141">
        <w:t>Performance R</w:t>
      </w:r>
      <w:r w:rsidR="00DE71FC">
        <w:t>eport</w:t>
      </w:r>
      <w:r>
        <w:t xml:space="preserve"> to your CEO or their representative for internal approval.</w:t>
      </w:r>
    </w:p>
    <w:p w14:paraId="77CEB3BF" w14:textId="5725C65F" w:rsidR="000E1C31" w:rsidRPr="002648DC" w:rsidRDefault="000E1C31" w:rsidP="000E1C31">
      <w:pPr>
        <w:pStyle w:val="QRGBullet1"/>
        <w:rPr>
          <w:b/>
        </w:rPr>
      </w:pPr>
      <w:r w:rsidRPr="00876FC5">
        <w:rPr>
          <w:b/>
        </w:rPr>
        <w:t>Request Interim Processing</w:t>
      </w:r>
      <w:r w:rsidRPr="002648DC">
        <w:rPr>
          <w:b/>
        </w:rPr>
        <w:t xml:space="preserve"> – </w:t>
      </w:r>
      <w:r w:rsidRPr="002648DC">
        <w:t xml:space="preserve">If you are a </w:t>
      </w:r>
      <w:r w:rsidR="00E77524" w:rsidRPr="00E77524">
        <w:rPr>
          <w:i/>
          <w:iCs/>
        </w:rPr>
        <w:t>Submission</w:t>
      </w:r>
      <w:r w:rsidR="00E77524">
        <w:t xml:space="preserve"> </w:t>
      </w:r>
      <w:r w:rsidRPr="003D3444">
        <w:rPr>
          <w:i/>
        </w:rPr>
        <w:t>Reviewer</w:t>
      </w:r>
      <w:r w:rsidRPr="002648DC">
        <w:t xml:space="preserve"> as well as </w:t>
      </w:r>
      <w:r>
        <w:t xml:space="preserve">a </w:t>
      </w:r>
      <w:r w:rsidRPr="003D3444">
        <w:rPr>
          <w:i/>
        </w:rPr>
        <w:t>Submission</w:t>
      </w:r>
      <w:r>
        <w:t xml:space="preserve"> </w:t>
      </w:r>
      <w:r w:rsidRPr="003D3444">
        <w:rPr>
          <w:i/>
        </w:rPr>
        <w:t>Uploader</w:t>
      </w:r>
      <w:r>
        <w:t>, you can s</w:t>
      </w:r>
      <w:r w:rsidRPr="002648DC">
        <w:t xml:space="preserve">elect this action to send </w:t>
      </w:r>
      <w:r w:rsidR="00FF3E4F">
        <w:t>your</w:t>
      </w:r>
      <w:r w:rsidRPr="002648DC">
        <w:t xml:space="preserve"> </w:t>
      </w:r>
      <w:r w:rsidR="00671141">
        <w:t>TIS Performance Report</w:t>
      </w:r>
      <w:r w:rsidRPr="002648DC">
        <w:t xml:space="preserve"> to </w:t>
      </w:r>
      <w:r w:rsidR="00DE71FC">
        <w:t>your</w:t>
      </w:r>
      <w:r w:rsidRPr="002648DC">
        <w:t xml:space="preserve"> </w:t>
      </w:r>
      <w:r w:rsidR="00173713">
        <w:t>DSS FAM</w:t>
      </w:r>
      <w:r w:rsidRPr="002648DC">
        <w:t xml:space="preserve"> for review prior to it going to your CEO or their representative for approval. This process is known as </w:t>
      </w:r>
      <w:r w:rsidRPr="002648DC">
        <w:rPr>
          <w:i/>
        </w:rPr>
        <w:t>Interim Processing</w:t>
      </w:r>
      <w:r w:rsidRPr="002648DC">
        <w:t>.</w:t>
      </w:r>
    </w:p>
    <w:p w14:paraId="4FD2AE9B" w14:textId="35607CEB" w:rsidR="007F697B" w:rsidRDefault="008F79F3" w:rsidP="007F697B">
      <w:pPr>
        <w:pStyle w:val="QRGText"/>
      </w:pPr>
      <w:r>
        <w:rPr>
          <w:noProof/>
          <w:lang w:eastAsia="en-AU"/>
        </w:rPr>
        <w:drawing>
          <wp:inline distT="0" distB="0" distL="0" distR="0" wp14:anchorId="080B2E94" wp14:editId="771F56CA">
            <wp:extent cx="277200" cy="252000"/>
            <wp:effectExtent l="0" t="0" r="8890" b="0"/>
            <wp:docPr id="492" name="Picture 492" title="No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title="Not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97B">
        <w:t xml:space="preserve"> If you </w:t>
      </w:r>
      <w:r w:rsidR="0036619E">
        <w:t>can</w:t>
      </w:r>
      <w:r w:rsidR="007F697B">
        <w:t xml:space="preserve"> approve </w:t>
      </w:r>
      <w:r w:rsidR="00FF3E4F">
        <w:t>your</w:t>
      </w:r>
      <w:r w:rsidR="007D7428">
        <w:t xml:space="preserve"> </w:t>
      </w:r>
      <w:r w:rsidR="00DE71FC">
        <w:t xml:space="preserve">TIS Performance Report </w:t>
      </w:r>
      <w:r w:rsidR="00F85E77">
        <w:t>yourself</w:t>
      </w:r>
      <w:r w:rsidR="007F697B">
        <w:t xml:space="preserve">, you will </w:t>
      </w:r>
      <w:r w:rsidR="00FD6E04">
        <w:t xml:space="preserve">also </w:t>
      </w:r>
      <w:r w:rsidR="007F697B">
        <w:t xml:space="preserve">see the </w:t>
      </w:r>
      <w:r w:rsidR="007F697B" w:rsidRPr="00C175F1">
        <w:rPr>
          <w:i/>
        </w:rPr>
        <w:t>Approve for Submission</w:t>
      </w:r>
      <w:r w:rsidR="007F697B">
        <w:t xml:space="preserve"> </w:t>
      </w:r>
      <w:proofErr w:type="gramStart"/>
      <w:r w:rsidR="007F697B">
        <w:t>option</w:t>
      </w:r>
      <w:proofErr w:type="gramEnd"/>
      <w:r w:rsidR="007F697B">
        <w:t xml:space="preserve"> in the </w:t>
      </w:r>
      <w:r w:rsidR="00B73D21" w:rsidRPr="00C175F1">
        <w:rPr>
          <w:i/>
        </w:rPr>
        <w:t>Action</w:t>
      </w:r>
      <w:r w:rsidR="007F697B">
        <w:t xml:space="preserve"> list. This allows you to approve </w:t>
      </w:r>
      <w:r w:rsidR="00FF3E4F">
        <w:t>your</w:t>
      </w:r>
      <w:r w:rsidR="007F697B">
        <w:t xml:space="preserve"> </w:t>
      </w:r>
      <w:r w:rsidR="00671141">
        <w:t>Performance Report</w:t>
      </w:r>
      <w:r w:rsidR="00807D54">
        <w:t xml:space="preserve"> </w:t>
      </w:r>
      <w:r w:rsidR="007F697B">
        <w:t xml:space="preserve">and submit it directly to </w:t>
      </w:r>
      <w:r w:rsidR="00173713">
        <w:t xml:space="preserve">your DSS FAM </w:t>
      </w:r>
      <w:r w:rsidR="007F697B">
        <w:t>for processing.</w:t>
      </w:r>
    </w:p>
    <w:p w14:paraId="608152D6" w14:textId="519AB77E" w:rsidR="0054201C" w:rsidRDefault="0054201C" w:rsidP="0054201C">
      <w:pPr>
        <w:pStyle w:val="QRGNumbering1"/>
      </w:pPr>
      <w:r>
        <w:t xml:space="preserve">In the </w:t>
      </w:r>
      <w:r>
        <w:rPr>
          <w:b/>
        </w:rPr>
        <w:t>Comment</w:t>
      </w:r>
      <w:r>
        <w:t xml:space="preserve"> field, enter any comments regarding the action be</w:t>
      </w:r>
      <w:r w:rsidR="00877F51">
        <w:t xml:space="preserve">ing </w:t>
      </w:r>
      <w:r>
        <w:t xml:space="preserve">performed on </w:t>
      </w:r>
      <w:r w:rsidR="00FF3E4F">
        <w:t>your</w:t>
      </w:r>
      <w:r>
        <w:t xml:space="preserve"> </w:t>
      </w:r>
      <w:r w:rsidR="00671141">
        <w:t>Performance Report</w:t>
      </w:r>
      <w:r>
        <w:t>.</w:t>
      </w:r>
      <w:r w:rsidR="0071030A">
        <w:t xml:space="preserve"> </w:t>
      </w:r>
    </w:p>
    <w:p w14:paraId="5C53D679" w14:textId="263CE10F" w:rsidR="00EE0CDA" w:rsidRDefault="00EE0CDA" w:rsidP="00DE622A">
      <w:pPr>
        <w:pStyle w:val="QRGNumbering1"/>
      </w:pPr>
      <w:r>
        <w:t xml:space="preserve">One of the following </w:t>
      </w:r>
      <w:r w:rsidR="00FD6E04">
        <w:t>buttons</w:t>
      </w:r>
      <w:r>
        <w:t xml:space="preserve"> can now be selected when submitting </w:t>
      </w:r>
      <w:r w:rsidR="00FF3E4F">
        <w:t>your</w:t>
      </w:r>
      <w:r>
        <w:t xml:space="preserve"> </w:t>
      </w:r>
      <w:r w:rsidR="00671141">
        <w:t>Performance Report</w:t>
      </w:r>
      <w:r>
        <w:t>, depending on the action you have selected:</w:t>
      </w:r>
    </w:p>
    <w:p w14:paraId="1757CE08" w14:textId="45BF1906" w:rsidR="00EE0CDA" w:rsidRDefault="00EE0CDA" w:rsidP="00EE0CDA">
      <w:pPr>
        <w:pStyle w:val="QRGNumbering2"/>
      </w:pPr>
      <w:r>
        <w:t xml:space="preserve">To send </w:t>
      </w:r>
      <w:r w:rsidR="00FF3E4F">
        <w:t>your</w:t>
      </w:r>
      <w:r>
        <w:t xml:space="preserve"> </w:t>
      </w:r>
      <w:r w:rsidR="00FA23E0">
        <w:t>TIS Performance R</w:t>
      </w:r>
      <w:r w:rsidR="00DE71FC">
        <w:t>eport</w:t>
      </w:r>
      <w:r>
        <w:t xml:space="preserve"> for review, select </w:t>
      </w:r>
      <w:r w:rsidR="008E4637">
        <w:rPr>
          <w:noProof/>
          <w:lang w:eastAsia="en-AU"/>
        </w:rPr>
        <w:drawing>
          <wp:inline distT="0" distB="0" distL="0" distR="0" wp14:anchorId="4FCFE573" wp14:editId="75A25C7E">
            <wp:extent cx="885600" cy="180000"/>
            <wp:effectExtent l="19050" t="19050" r="10160" b="10795"/>
            <wp:docPr id="356" name="Picture 356" title="the Request Review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. See the </w:t>
      </w:r>
      <w:r w:rsidRPr="00541892">
        <w:rPr>
          <w:i/>
        </w:rPr>
        <w:t xml:space="preserve">Review </w:t>
      </w:r>
      <w:r w:rsidR="00FF3E4F">
        <w:rPr>
          <w:i/>
        </w:rPr>
        <w:t>your</w:t>
      </w:r>
      <w:r w:rsidR="00DE71FC">
        <w:rPr>
          <w:i/>
        </w:rPr>
        <w:t xml:space="preserve"> TIS Performance Report</w:t>
      </w:r>
      <w:r w:rsidR="00FF3E4F">
        <w:rPr>
          <w:i/>
        </w:rPr>
        <w:t xml:space="preserve"> (Submission Reviewer)</w:t>
      </w:r>
      <w:r>
        <w:t xml:space="preserve"> QRG for the next step in the process.</w:t>
      </w:r>
    </w:p>
    <w:p w14:paraId="1E87B5DE" w14:textId="6BA6244F" w:rsidR="00EE0CDA" w:rsidRDefault="00EE0CDA" w:rsidP="00EE0CDA">
      <w:pPr>
        <w:pStyle w:val="QRGNumbering2"/>
      </w:pPr>
      <w:r>
        <w:lastRenderedPageBreak/>
        <w:t xml:space="preserve">To submit </w:t>
      </w:r>
      <w:r w:rsidR="00FF3E4F">
        <w:t>your</w:t>
      </w:r>
      <w:r>
        <w:t xml:space="preserve"> </w:t>
      </w:r>
      <w:r w:rsidR="00671141">
        <w:t>Performance Report</w:t>
      </w:r>
      <w:r>
        <w:t xml:space="preserve"> </w:t>
      </w:r>
      <w:r w:rsidR="007D7428">
        <w:t xml:space="preserve">directly </w:t>
      </w:r>
      <w:r>
        <w:t>for approval</w:t>
      </w:r>
      <w:r w:rsidR="007D7428">
        <w:t xml:space="preserve"> to your CEO or their representative</w:t>
      </w:r>
      <w:r>
        <w:t xml:space="preserve">, select </w:t>
      </w:r>
      <w:r w:rsidR="008E4637">
        <w:t xml:space="preserve"> </w:t>
      </w:r>
      <w:r w:rsidR="008E4637">
        <w:rPr>
          <w:noProof/>
          <w:lang w:eastAsia="en-AU"/>
        </w:rPr>
        <w:drawing>
          <wp:inline distT="0" distB="0" distL="0" distR="0" wp14:anchorId="70C3474E" wp14:editId="0E936D28">
            <wp:extent cx="950400" cy="180000"/>
            <wp:effectExtent l="19050" t="19050" r="21590" b="10795"/>
            <wp:docPr id="365" name="Picture 365" title="the Request Appro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1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. See the </w:t>
      </w:r>
      <w:r w:rsidRPr="00624F06">
        <w:rPr>
          <w:i/>
        </w:rPr>
        <w:t xml:space="preserve">Approve </w:t>
      </w:r>
      <w:r w:rsidR="00FF3E4F">
        <w:rPr>
          <w:i/>
        </w:rPr>
        <w:t>your</w:t>
      </w:r>
      <w:r w:rsidR="00DE71FC">
        <w:rPr>
          <w:i/>
        </w:rPr>
        <w:t xml:space="preserve"> TIS Performance Report</w:t>
      </w:r>
      <w:r w:rsidR="00FF3E4F">
        <w:rPr>
          <w:i/>
        </w:rPr>
        <w:t xml:space="preserve"> (Submission Approved)</w:t>
      </w:r>
      <w:r>
        <w:t xml:space="preserve"> QRG for the next step in the process.</w:t>
      </w:r>
    </w:p>
    <w:p w14:paraId="3723032E" w14:textId="77777777" w:rsidR="00716AD4" w:rsidRDefault="00716AD4" w:rsidP="00EE0CDA">
      <w:pPr>
        <w:pStyle w:val="QRGText"/>
      </w:pPr>
    </w:p>
    <w:p w14:paraId="5758B886" w14:textId="2BBF497F" w:rsidR="004D6A39" w:rsidRDefault="00FF3E4F" w:rsidP="00EE0CDA">
      <w:pPr>
        <w:pStyle w:val="QRGText"/>
      </w:pPr>
      <w:r>
        <w:t xml:space="preserve">Your TIS </w:t>
      </w:r>
      <w:r w:rsidR="00671141">
        <w:t>Performance Report</w:t>
      </w:r>
      <w:r w:rsidR="00EE0CDA">
        <w:t xml:space="preserve"> has now been </w:t>
      </w:r>
      <w:r w:rsidR="001C1D64">
        <w:t>created</w:t>
      </w:r>
      <w:r w:rsidR="00EE0CDA">
        <w:t xml:space="preserve"> and submitted to </w:t>
      </w:r>
      <w:r w:rsidR="004D6A39">
        <w:t xml:space="preserve">either the </w:t>
      </w:r>
      <w:r w:rsidR="00716AD4">
        <w:t>NBPU</w:t>
      </w:r>
      <w:r>
        <w:t xml:space="preserve"> or your</w:t>
      </w:r>
      <w:r w:rsidR="004D6A39">
        <w:t xml:space="preserve"> </w:t>
      </w:r>
      <w:r w:rsidR="004D6A39" w:rsidRPr="004D6A39">
        <w:rPr>
          <w:i/>
        </w:rPr>
        <w:t xml:space="preserve">Submission Reviewer </w:t>
      </w:r>
      <w:r w:rsidR="004D6A39">
        <w:t xml:space="preserve">for review or </w:t>
      </w:r>
      <w:r w:rsidR="0054201C">
        <w:t>your</w:t>
      </w:r>
      <w:r w:rsidR="004D6A39">
        <w:t xml:space="preserve"> CEO or their representative for approval</w:t>
      </w:r>
      <w:r w:rsidR="00EE0CDA">
        <w:t xml:space="preserve">. </w:t>
      </w:r>
    </w:p>
    <w:p w14:paraId="01ABD356" w14:textId="37FEB5CA" w:rsidR="008A7388" w:rsidRDefault="000F79E1" w:rsidP="000F79E1">
      <w:pPr>
        <w:pStyle w:val="QRGText"/>
      </w:pPr>
      <w:r>
        <w:t xml:space="preserve">An automated email will be sent to all </w:t>
      </w:r>
      <w:r w:rsidR="00716AD4">
        <w:t>users</w:t>
      </w:r>
      <w:r>
        <w:t xml:space="preserve"> within your </w:t>
      </w:r>
      <w:r w:rsidR="000C5A20">
        <w:t>h</w:t>
      </w:r>
      <w:r>
        <w:t xml:space="preserve">ealth </w:t>
      </w:r>
      <w:r w:rsidR="000C5A20">
        <w:t>s</w:t>
      </w:r>
      <w:r>
        <w:t>ervice</w:t>
      </w:r>
      <w:r w:rsidR="00716AD4">
        <w:t xml:space="preserve"> (including the NBPU representative working within your service)</w:t>
      </w:r>
      <w:r>
        <w:t xml:space="preserve"> that have been assigned the applicable role in the </w:t>
      </w:r>
      <w:r w:rsidR="00AC5540">
        <w:t xml:space="preserve">Data </w:t>
      </w:r>
      <w:r>
        <w:t>Portal (</w:t>
      </w:r>
      <w:r w:rsidR="006B35EA">
        <w:rPr>
          <w:i/>
        </w:rPr>
        <w:t xml:space="preserve">Submission </w:t>
      </w:r>
      <w:r w:rsidR="00FD6E04" w:rsidRPr="005B67CE">
        <w:rPr>
          <w:i/>
        </w:rPr>
        <w:t>Reviewer</w:t>
      </w:r>
      <w:r w:rsidR="00FD6E04">
        <w:t xml:space="preserve"> or </w:t>
      </w:r>
      <w:r w:rsidR="006B35EA">
        <w:rPr>
          <w:i/>
        </w:rPr>
        <w:t xml:space="preserve">Submission </w:t>
      </w:r>
      <w:r w:rsidR="00FD6E04" w:rsidRPr="005B67CE">
        <w:rPr>
          <w:i/>
        </w:rPr>
        <w:t>A</w:t>
      </w:r>
      <w:r w:rsidRPr="005B67CE">
        <w:rPr>
          <w:i/>
        </w:rPr>
        <w:t>pprover</w:t>
      </w:r>
      <w:r>
        <w:t xml:space="preserve">) notifying them </w:t>
      </w:r>
      <w:r w:rsidR="00FF3E4F">
        <w:t>your</w:t>
      </w:r>
      <w:r>
        <w:t xml:space="preserve"> </w:t>
      </w:r>
      <w:r w:rsidR="00671141">
        <w:t>Performance Report</w:t>
      </w:r>
      <w:r>
        <w:t xml:space="preserve"> has been submitted to them for action.</w:t>
      </w:r>
    </w:p>
    <w:p w14:paraId="37D737E0" w14:textId="2A9D80F4" w:rsidR="00EB6123" w:rsidRDefault="00EB6123" w:rsidP="00EB6123">
      <w:pPr>
        <w:pStyle w:val="QRGText"/>
      </w:pPr>
      <w:r w:rsidRPr="00F00AF0">
        <w:rPr>
          <w:noProof/>
          <w:lang w:eastAsia="en-AU"/>
        </w:rPr>
        <w:drawing>
          <wp:inline distT="0" distB="0" distL="0" distR="0" wp14:anchorId="48CF47B6" wp14:editId="596E4A25">
            <wp:extent cx="252000" cy="252000"/>
            <wp:effectExtent l="0" t="0" r="0" b="0"/>
            <wp:docPr id="18" name="Picture 18" title="N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MKeyS_icon_aler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For a more detailed description of how to submit </w:t>
      </w:r>
      <w:r w:rsidR="00FF3E4F">
        <w:t>your</w:t>
      </w:r>
      <w:r>
        <w:t xml:space="preserve"> </w:t>
      </w:r>
      <w:r w:rsidR="00040A99" w:rsidRPr="00DE71FC">
        <w:t xml:space="preserve">TIS </w:t>
      </w:r>
      <w:r w:rsidR="005F319F" w:rsidRPr="00DE71FC">
        <w:t>Performance Report</w:t>
      </w:r>
      <w:r>
        <w:t xml:space="preserve"> in the </w:t>
      </w:r>
      <w:r w:rsidR="00AC5540">
        <w:t xml:space="preserve">Data </w:t>
      </w:r>
      <w:r>
        <w:t xml:space="preserve">Portal, see </w:t>
      </w:r>
      <w:r w:rsidRPr="001C3238">
        <w:rPr>
          <w:i/>
        </w:rPr>
        <w:t xml:space="preserve">Submit </w:t>
      </w:r>
      <w:r w:rsidR="00FF3E4F">
        <w:rPr>
          <w:i/>
        </w:rPr>
        <w:t>your</w:t>
      </w:r>
      <w:r w:rsidR="005F319F">
        <w:rPr>
          <w:i/>
        </w:rPr>
        <w:t xml:space="preserve"> </w:t>
      </w:r>
      <w:r w:rsidR="00040A99">
        <w:rPr>
          <w:i/>
        </w:rPr>
        <w:t xml:space="preserve">TIS </w:t>
      </w:r>
      <w:r w:rsidR="005F319F">
        <w:rPr>
          <w:i/>
        </w:rPr>
        <w:t>Performance Report</w:t>
      </w:r>
      <w:r w:rsidR="00FB3056">
        <w:rPr>
          <w:i/>
        </w:rPr>
        <w:t xml:space="preserve"> </w:t>
      </w:r>
      <w:r w:rsidRPr="001C3238">
        <w:t>in the</w:t>
      </w:r>
      <w:r>
        <w:rPr>
          <w:i/>
        </w:rPr>
        <w:t xml:space="preserve"> </w:t>
      </w:r>
      <w:r w:rsidR="00DE71FC">
        <w:rPr>
          <w:i/>
        </w:rPr>
        <w:t xml:space="preserve">TIS Performance </w:t>
      </w:r>
      <w:r w:rsidR="00C53CBD">
        <w:rPr>
          <w:i/>
        </w:rPr>
        <w:t>Reporting</w:t>
      </w:r>
      <w:r>
        <w:rPr>
          <w:i/>
        </w:rPr>
        <w:t xml:space="preserve"> in the Health Data Portal </w:t>
      </w:r>
      <w:r w:rsidRPr="00277878">
        <w:t>user guide</w:t>
      </w:r>
      <w:r w:rsidR="005B67CE">
        <w:t xml:space="preserve"> on the </w:t>
      </w:r>
      <w:r w:rsidR="005B67CE" w:rsidRPr="005B67CE">
        <w:rPr>
          <w:i/>
        </w:rPr>
        <w:t>User</w:t>
      </w:r>
      <w:r w:rsidR="00E77524">
        <w:rPr>
          <w:i/>
        </w:rPr>
        <w:t xml:space="preserve"> </w:t>
      </w:r>
      <w:r w:rsidR="005B67CE" w:rsidRPr="00E77524">
        <w:rPr>
          <w:i/>
          <w:iCs/>
        </w:rPr>
        <w:t>Support</w:t>
      </w:r>
      <w:r w:rsidR="005B67CE">
        <w:t xml:space="preserve"> </w:t>
      </w:r>
      <w:r w:rsidR="00E77524">
        <w:t>page</w:t>
      </w:r>
      <w:r w:rsidR="005B67CE">
        <w:t xml:space="preserve"> of the Data Portal</w:t>
      </w:r>
      <w:r w:rsidRPr="00277878">
        <w:t>.</w:t>
      </w:r>
    </w:p>
    <w:p w14:paraId="5687579B" w14:textId="77777777" w:rsidR="00EB6123" w:rsidRPr="0058320B" w:rsidRDefault="00EB6123" w:rsidP="000F79E1">
      <w:pPr>
        <w:pStyle w:val="QRGText"/>
      </w:pPr>
    </w:p>
    <w:p w14:paraId="2138ADE0" w14:textId="77777777" w:rsidR="00A6070D" w:rsidRPr="0058320B" w:rsidRDefault="00A6070D" w:rsidP="006A0022">
      <w:pPr>
        <w:pStyle w:val="QRGText"/>
      </w:pPr>
    </w:p>
    <w:sectPr w:rsidR="00A6070D" w:rsidRPr="0058320B" w:rsidSect="008B6444">
      <w:type w:val="continuous"/>
      <w:pgSz w:w="11906" w:h="16838" w:code="9"/>
      <w:pgMar w:top="1985" w:right="849" w:bottom="851" w:left="567" w:header="284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DACE7" w14:textId="77777777" w:rsidR="00007D68" w:rsidRDefault="00007D68" w:rsidP="00AF798B">
      <w:pPr>
        <w:spacing w:before="0" w:after="0"/>
      </w:pPr>
      <w:r>
        <w:separator/>
      </w:r>
    </w:p>
    <w:p w14:paraId="2C9F0D62" w14:textId="77777777" w:rsidR="00007D68" w:rsidRDefault="00007D68"/>
  </w:endnote>
  <w:endnote w:type="continuationSeparator" w:id="0">
    <w:p w14:paraId="3267A0CD" w14:textId="77777777" w:rsidR="00007D68" w:rsidRDefault="00007D68" w:rsidP="00AF798B">
      <w:pPr>
        <w:spacing w:before="0" w:after="0"/>
      </w:pPr>
      <w:r>
        <w:continuationSeparator/>
      </w:r>
    </w:p>
    <w:p w14:paraId="4C90B3CF" w14:textId="77777777" w:rsidR="00007D68" w:rsidRDefault="00007D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306530"/>
      <w:docPartObj>
        <w:docPartGallery w:val="Page Numbers (Bottom of Page)"/>
        <w:docPartUnique/>
      </w:docPartObj>
    </w:sdtPr>
    <w:sdtContent>
      <w:sdt>
        <w:sdtPr>
          <w:id w:val="-604115454"/>
          <w:docPartObj>
            <w:docPartGallery w:val="Page Numbers (Top of Page)"/>
            <w:docPartUnique/>
          </w:docPartObj>
        </w:sdtPr>
        <w:sdtContent>
          <w:p w14:paraId="2A73CB53" w14:textId="77777777" w:rsidR="00AF798B" w:rsidRDefault="00AF798B" w:rsidP="00AF798B">
            <w:pPr>
              <w:pStyle w:val="QRGFooter"/>
            </w:pPr>
            <w:r>
              <w:t xml:space="preserve">Page </w:t>
            </w:r>
            <w:r>
              <w:rPr>
                <w:sz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</w:rPr>
              <w:fldChar w:fldCharType="separate"/>
            </w:r>
            <w:r w:rsidR="00C42ED0">
              <w:rPr>
                <w:noProof/>
              </w:rPr>
              <w:t>3</w:t>
            </w:r>
            <w:r>
              <w:rPr>
                <w:sz w:val="24"/>
              </w:rPr>
              <w:fldChar w:fldCharType="end"/>
            </w:r>
            <w:r>
              <w:t xml:space="preserve"> of </w:t>
            </w:r>
            <w:r w:rsidR="00F83077">
              <w:rPr>
                <w:noProof/>
              </w:rPr>
              <w:fldChar w:fldCharType="begin"/>
            </w:r>
            <w:r w:rsidR="00F83077">
              <w:rPr>
                <w:noProof/>
              </w:rPr>
              <w:instrText xml:space="preserve"> NUMPAGES  </w:instrText>
            </w:r>
            <w:r w:rsidR="00F83077">
              <w:rPr>
                <w:noProof/>
              </w:rPr>
              <w:fldChar w:fldCharType="separate"/>
            </w:r>
            <w:r w:rsidR="00C42ED0">
              <w:rPr>
                <w:noProof/>
              </w:rPr>
              <w:t>3</w:t>
            </w:r>
            <w:r w:rsidR="00F83077">
              <w:rPr>
                <w:noProof/>
              </w:rPr>
              <w:fldChar w:fldCharType="end"/>
            </w:r>
          </w:p>
        </w:sdtContent>
      </w:sdt>
    </w:sdtContent>
  </w:sdt>
  <w:p w14:paraId="374BF06A" w14:textId="77777777" w:rsidR="00AF798B" w:rsidRDefault="00AF79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2D9F7" w14:textId="77777777" w:rsidR="00007D68" w:rsidRDefault="00007D68" w:rsidP="00AF798B">
      <w:pPr>
        <w:spacing w:before="0" w:after="0"/>
      </w:pPr>
      <w:r>
        <w:separator/>
      </w:r>
    </w:p>
    <w:p w14:paraId="60A0AD2C" w14:textId="77777777" w:rsidR="00007D68" w:rsidRDefault="00007D68"/>
  </w:footnote>
  <w:footnote w:type="continuationSeparator" w:id="0">
    <w:p w14:paraId="68F6C360" w14:textId="77777777" w:rsidR="00007D68" w:rsidRDefault="00007D68" w:rsidP="00AF798B">
      <w:pPr>
        <w:spacing w:before="0" w:after="0"/>
      </w:pPr>
      <w:r>
        <w:continuationSeparator/>
      </w:r>
    </w:p>
    <w:p w14:paraId="5DB239DA" w14:textId="77777777" w:rsidR="00007D68" w:rsidRDefault="00007D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EF75" w14:textId="6775457A" w:rsidR="009433D1" w:rsidRDefault="001A6F7D">
    <w:pPr>
      <w:pStyle w:val="Header"/>
    </w:pPr>
    <w:r w:rsidRPr="00FD6E0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18F73BEE" wp14:editId="3A4C66D8">
              <wp:simplePos x="0" y="0"/>
              <wp:positionH relativeFrom="column">
                <wp:posOffset>2695575</wp:posOffset>
              </wp:positionH>
              <wp:positionV relativeFrom="page">
                <wp:posOffset>294005</wp:posOffset>
              </wp:positionV>
              <wp:extent cx="4203700" cy="1403985"/>
              <wp:effectExtent l="0" t="0" r="0" b="1905"/>
              <wp:wrapNone/>
              <wp:docPr id="19" name="Text Box 19" descr="Submit your IAHP PHC Performance Repor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8F866A" w14:textId="77777777" w:rsidR="001A6F7D" w:rsidRPr="00392D4E" w:rsidRDefault="001A6F7D" w:rsidP="001A6F7D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36"/>
                              <w:szCs w:val="36"/>
                            </w:rPr>
                          </w:pPr>
                          <w:r w:rsidRPr="00392D4E">
                            <w:rPr>
                              <w:rFonts w:asciiTheme="minorHAnsi" w:hAnsiTheme="minorHAnsi"/>
                              <w:b/>
                              <w:sz w:val="36"/>
                              <w:szCs w:val="36"/>
                            </w:rPr>
                            <w:t xml:space="preserve">Submit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36"/>
                              <w:szCs w:val="36"/>
                            </w:rPr>
                            <w:t xml:space="preserve">your TIS Performance Report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F73BE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alt="Submit your IAHP PHC Performance Report" style="position:absolute;margin-left:212.25pt;margin-top:23.15pt;width:331pt;height:110.5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" filled="f" stroked="f">
              <v:textbox style="mso-fit-shape-to-text:t">
                <w:txbxContent>
                  <w:p w14:paraId="5E8F866A" w14:textId="77777777" w:rsidR="001A6F7D" w:rsidRPr="00392D4E" w:rsidRDefault="001A6F7D" w:rsidP="001A6F7D">
                    <w:pPr>
                      <w:jc w:val="center"/>
                      <w:rPr>
                        <w:rFonts w:asciiTheme="minorHAnsi" w:hAnsiTheme="minorHAnsi"/>
                        <w:b/>
                        <w:sz w:val="36"/>
                        <w:szCs w:val="36"/>
                      </w:rPr>
                    </w:pPr>
                    <w:r w:rsidRPr="00392D4E">
                      <w:rPr>
                        <w:rFonts w:asciiTheme="minorHAnsi" w:hAnsiTheme="minorHAnsi"/>
                        <w:b/>
                        <w:sz w:val="36"/>
                        <w:szCs w:val="36"/>
                      </w:rPr>
                      <w:t xml:space="preserve">Submit </w:t>
                    </w:r>
                    <w:r>
                      <w:rPr>
                        <w:rFonts w:asciiTheme="minorHAnsi" w:hAnsiTheme="minorHAnsi"/>
                        <w:b/>
                        <w:sz w:val="36"/>
                        <w:szCs w:val="36"/>
                      </w:rPr>
                      <w:t xml:space="preserve">your TIS Performance Report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A40D63">
      <w:rPr>
        <w:noProof/>
        <w:lang w:eastAsia="en-AU"/>
      </w:rPr>
      <w:drawing>
        <wp:anchor distT="0" distB="0" distL="114300" distR="114300" simplePos="0" relativeHeight="251659776" behindDoc="0" locked="0" layoutInCell="1" allowOverlap="1" wp14:anchorId="6EE24DC7" wp14:editId="52A03E9A">
          <wp:simplePos x="0" y="0"/>
          <wp:positionH relativeFrom="column">
            <wp:posOffset>-140970</wp:posOffset>
          </wp:positionH>
          <wp:positionV relativeFrom="paragraph">
            <wp:posOffset>38735</wp:posOffset>
          </wp:positionV>
          <wp:extent cx="2469068" cy="745414"/>
          <wp:effectExtent l="0" t="0" r="7620" b="0"/>
          <wp:wrapSquare wrapText="bothSides"/>
          <wp:docPr id="4" name="Picture 4" descr="picture of the Department of Health and  Aged Car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picture of the Department of Health and  Aged Care cre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068" cy="745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33D1" w:rsidRPr="000628A2">
      <w:rPr>
        <w:noProof/>
        <w:lang w:eastAsia="en-AU"/>
      </w:rPr>
      <w:drawing>
        <wp:anchor distT="0" distB="0" distL="114300" distR="114300" simplePos="0" relativeHeight="251655680" behindDoc="0" locked="0" layoutInCell="1" allowOverlap="1" wp14:anchorId="69431620" wp14:editId="4DB4C6E8">
          <wp:simplePos x="0" y="0"/>
          <wp:positionH relativeFrom="column">
            <wp:posOffset>-352425</wp:posOffset>
          </wp:positionH>
          <wp:positionV relativeFrom="paragraph">
            <wp:posOffset>-162560</wp:posOffset>
          </wp:positionV>
          <wp:extent cx="7534275" cy="1045845"/>
          <wp:effectExtent l="19050" t="19050" r="28575" b="20955"/>
          <wp:wrapNone/>
          <wp:docPr id="5" name="Picture 5" descr="Top banner showing the Department of Health crest and the &quot;Submit an IHDR nKPI Data Asset (Manual Process)&quot; 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ocuments\12668 Health Data Portal web banner DESIG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45845"/>
                  </a:xfrm>
                  <a:prstGeom prst="rect">
                    <a:avLst/>
                  </a:prstGeom>
                  <a:noFill/>
                  <a:ln>
                    <a:solidFill>
                      <a:sysClr val="windowText" lastClr="000000">
                        <a:alpha val="40000"/>
                      </a:sysClr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4083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888D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C22F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9C7D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02B7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E6B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8A40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E899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1A6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BC5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3F051E"/>
    <w:multiLevelType w:val="hybridMultilevel"/>
    <w:tmpl w:val="679E8CD6"/>
    <w:lvl w:ilvl="0" w:tplc="0882E5CE">
      <w:start w:val="1"/>
      <w:numFmt w:val="decimal"/>
      <w:pStyle w:val="QRGNumbering1"/>
      <w:lvlText w:val="%1."/>
      <w:lvlJc w:val="left"/>
      <w:pPr>
        <w:ind w:left="720" w:hanging="360"/>
      </w:pPr>
    </w:lvl>
    <w:lvl w:ilvl="1" w:tplc="0C090019">
      <w:start w:val="1"/>
      <w:numFmt w:val="lowerLetter"/>
      <w:pStyle w:val="QRGNumbering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24DEC"/>
    <w:multiLevelType w:val="hybridMultilevel"/>
    <w:tmpl w:val="4936F8BA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482EC8"/>
    <w:multiLevelType w:val="hybridMultilevel"/>
    <w:tmpl w:val="53AA2A2E"/>
    <w:lvl w:ilvl="0" w:tplc="7CC2B6B4">
      <w:start w:val="1"/>
      <w:numFmt w:val="bullet"/>
      <w:pStyle w:val="QRG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638D7"/>
    <w:multiLevelType w:val="hybridMultilevel"/>
    <w:tmpl w:val="9F24C984"/>
    <w:lvl w:ilvl="0" w:tplc="7CC2B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8A0F6">
      <w:start w:val="1"/>
      <w:numFmt w:val="bullet"/>
      <w:pStyle w:val="QRG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834208">
    <w:abstractNumId w:val="12"/>
  </w:num>
  <w:num w:numId="2" w16cid:durableId="699940122">
    <w:abstractNumId w:val="10"/>
  </w:num>
  <w:num w:numId="3" w16cid:durableId="303319597">
    <w:abstractNumId w:val="13"/>
  </w:num>
  <w:num w:numId="4" w16cid:durableId="1622999405">
    <w:abstractNumId w:val="10"/>
    <w:lvlOverride w:ilvl="0">
      <w:startOverride w:val="1"/>
    </w:lvlOverride>
  </w:num>
  <w:num w:numId="5" w16cid:durableId="1239483455">
    <w:abstractNumId w:val="10"/>
    <w:lvlOverride w:ilvl="0">
      <w:startOverride w:val="1"/>
    </w:lvlOverride>
  </w:num>
  <w:num w:numId="6" w16cid:durableId="1879124266">
    <w:abstractNumId w:val="10"/>
    <w:lvlOverride w:ilvl="0">
      <w:startOverride w:val="1"/>
    </w:lvlOverride>
  </w:num>
  <w:num w:numId="7" w16cid:durableId="1808812759">
    <w:abstractNumId w:val="9"/>
  </w:num>
  <w:num w:numId="8" w16cid:durableId="439179653">
    <w:abstractNumId w:val="7"/>
  </w:num>
  <w:num w:numId="9" w16cid:durableId="1129396704">
    <w:abstractNumId w:val="6"/>
  </w:num>
  <w:num w:numId="10" w16cid:durableId="2064520423">
    <w:abstractNumId w:val="5"/>
  </w:num>
  <w:num w:numId="11" w16cid:durableId="888033427">
    <w:abstractNumId w:val="4"/>
  </w:num>
  <w:num w:numId="12" w16cid:durableId="2002351462">
    <w:abstractNumId w:val="8"/>
  </w:num>
  <w:num w:numId="13" w16cid:durableId="869151864">
    <w:abstractNumId w:val="3"/>
  </w:num>
  <w:num w:numId="14" w16cid:durableId="554660340">
    <w:abstractNumId w:val="2"/>
  </w:num>
  <w:num w:numId="15" w16cid:durableId="456413873">
    <w:abstractNumId w:val="1"/>
  </w:num>
  <w:num w:numId="16" w16cid:durableId="157623596">
    <w:abstractNumId w:val="0"/>
  </w:num>
  <w:num w:numId="17" w16cid:durableId="1140148897">
    <w:abstractNumId w:val="10"/>
    <w:lvlOverride w:ilvl="0">
      <w:startOverride w:val="1"/>
    </w:lvlOverride>
  </w:num>
  <w:num w:numId="18" w16cid:durableId="870336956">
    <w:abstractNumId w:val="10"/>
    <w:lvlOverride w:ilvl="0">
      <w:startOverride w:val="1"/>
    </w:lvlOverride>
  </w:num>
  <w:num w:numId="19" w16cid:durableId="729690155">
    <w:abstractNumId w:val="10"/>
    <w:lvlOverride w:ilvl="0">
      <w:startOverride w:val="1"/>
    </w:lvlOverride>
  </w:num>
  <w:num w:numId="20" w16cid:durableId="540093651">
    <w:abstractNumId w:val="12"/>
  </w:num>
  <w:num w:numId="21" w16cid:durableId="20604770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0823703">
    <w:abstractNumId w:val="12"/>
  </w:num>
  <w:num w:numId="23" w16cid:durableId="648249034">
    <w:abstractNumId w:val="10"/>
  </w:num>
  <w:num w:numId="24" w16cid:durableId="1493519923">
    <w:abstractNumId w:val="10"/>
  </w:num>
  <w:num w:numId="25" w16cid:durableId="2030520514">
    <w:abstractNumId w:val="10"/>
    <w:lvlOverride w:ilvl="0">
      <w:startOverride w:val="1"/>
    </w:lvlOverride>
  </w:num>
  <w:num w:numId="26" w16cid:durableId="704208541">
    <w:abstractNumId w:val="10"/>
    <w:lvlOverride w:ilvl="0">
      <w:startOverride w:val="1"/>
    </w:lvlOverride>
  </w:num>
  <w:num w:numId="27" w16cid:durableId="258637277">
    <w:abstractNumId w:val="10"/>
  </w:num>
  <w:num w:numId="28" w16cid:durableId="1964728220">
    <w:abstractNumId w:val="10"/>
    <w:lvlOverride w:ilvl="0">
      <w:startOverride w:val="1"/>
    </w:lvlOverride>
  </w:num>
  <w:num w:numId="29" w16cid:durableId="1036349424">
    <w:abstractNumId w:val="10"/>
    <w:lvlOverride w:ilvl="0">
      <w:startOverride w:val="1"/>
    </w:lvlOverride>
  </w:num>
  <w:num w:numId="30" w16cid:durableId="1381437051">
    <w:abstractNumId w:val="10"/>
    <w:lvlOverride w:ilvl="0">
      <w:startOverride w:val="1"/>
    </w:lvlOverride>
  </w:num>
  <w:num w:numId="31" w16cid:durableId="1281112686">
    <w:abstractNumId w:val="10"/>
  </w:num>
  <w:num w:numId="32" w16cid:durableId="1923761778">
    <w:abstractNumId w:val="10"/>
    <w:lvlOverride w:ilvl="0">
      <w:startOverride w:val="1"/>
    </w:lvlOverride>
  </w:num>
  <w:num w:numId="33" w16cid:durableId="1715886574">
    <w:abstractNumId w:val="10"/>
  </w:num>
  <w:num w:numId="34" w16cid:durableId="1980527819">
    <w:abstractNumId w:val="10"/>
  </w:num>
  <w:num w:numId="35" w16cid:durableId="365764893">
    <w:abstractNumId w:val="10"/>
    <w:lvlOverride w:ilvl="0">
      <w:startOverride w:val="1"/>
    </w:lvlOverride>
  </w:num>
  <w:num w:numId="36" w16cid:durableId="1403677302">
    <w:abstractNumId w:val="10"/>
    <w:lvlOverride w:ilvl="0">
      <w:startOverride w:val="1"/>
    </w:lvlOverride>
  </w:num>
  <w:num w:numId="37" w16cid:durableId="1384329323">
    <w:abstractNumId w:val="10"/>
  </w:num>
  <w:num w:numId="38" w16cid:durableId="41949393">
    <w:abstractNumId w:val="10"/>
    <w:lvlOverride w:ilvl="0">
      <w:startOverride w:val="1"/>
    </w:lvlOverride>
  </w:num>
  <w:num w:numId="39" w16cid:durableId="779686183">
    <w:abstractNumId w:val="11"/>
  </w:num>
  <w:num w:numId="40" w16cid:durableId="1290283567">
    <w:abstractNumId w:val="10"/>
    <w:lvlOverride w:ilvl="0">
      <w:startOverride w:val="1"/>
    </w:lvlOverride>
  </w:num>
  <w:num w:numId="41" w16cid:durableId="996109449">
    <w:abstractNumId w:val="10"/>
    <w:lvlOverride w:ilvl="0">
      <w:startOverride w:val="1"/>
    </w:lvlOverride>
  </w:num>
  <w:num w:numId="42" w16cid:durableId="116149035">
    <w:abstractNumId w:val="10"/>
    <w:lvlOverride w:ilvl="0">
      <w:startOverride w:val="1"/>
    </w:lvlOverride>
  </w:num>
  <w:num w:numId="43" w16cid:durableId="2047948670">
    <w:abstractNumId w:val="10"/>
  </w:num>
  <w:num w:numId="44" w16cid:durableId="472528679">
    <w:abstractNumId w:val="12"/>
  </w:num>
  <w:num w:numId="45" w16cid:durableId="3760069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CF5"/>
    <w:rsid w:val="00003743"/>
    <w:rsid w:val="00007D68"/>
    <w:rsid w:val="00010AFE"/>
    <w:rsid w:val="00016A42"/>
    <w:rsid w:val="00022F50"/>
    <w:rsid w:val="00026B9E"/>
    <w:rsid w:val="000366E3"/>
    <w:rsid w:val="00040A99"/>
    <w:rsid w:val="000506D7"/>
    <w:rsid w:val="00056198"/>
    <w:rsid w:val="00067456"/>
    <w:rsid w:val="000714B7"/>
    <w:rsid w:val="0007613B"/>
    <w:rsid w:val="000818DA"/>
    <w:rsid w:val="00096015"/>
    <w:rsid w:val="000A5BD2"/>
    <w:rsid w:val="000C4831"/>
    <w:rsid w:val="000C5A20"/>
    <w:rsid w:val="000E1C31"/>
    <w:rsid w:val="000E3CDD"/>
    <w:rsid w:val="000E4608"/>
    <w:rsid w:val="000F648F"/>
    <w:rsid w:val="000F79E1"/>
    <w:rsid w:val="001156F4"/>
    <w:rsid w:val="00121EEC"/>
    <w:rsid w:val="00123C3A"/>
    <w:rsid w:val="00135C0E"/>
    <w:rsid w:val="00141F5F"/>
    <w:rsid w:val="001501E5"/>
    <w:rsid w:val="001504B7"/>
    <w:rsid w:val="001606D6"/>
    <w:rsid w:val="00173713"/>
    <w:rsid w:val="00184B68"/>
    <w:rsid w:val="001A6F7D"/>
    <w:rsid w:val="001B3443"/>
    <w:rsid w:val="001C1D64"/>
    <w:rsid w:val="001D06F3"/>
    <w:rsid w:val="001F101F"/>
    <w:rsid w:val="00200606"/>
    <w:rsid w:val="00201646"/>
    <w:rsid w:val="00212F98"/>
    <w:rsid w:val="00214E7E"/>
    <w:rsid w:val="00222732"/>
    <w:rsid w:val="00230520"/>
    <w:rsid w:val="002478C0"/>
    <w:rsid w:val="0027152E"/>
    <w:rsid w:val="00277E89"/>
    <w:rsid w:val="00297B0E"/>
    <w:rsid w:val="002E4840"/>
    <w:rsid w:val="00302F74"/>
    <w:rsid w:val="00305474"/>
    <w:rsid w:val="0030786C"/>
    <w:rsid w:val="00307882"/>
    <w:rsid w:val="00313943"/>
    <w:rsid w:val="00313C61"/>
    <w:rsid w:val="00316F6F"/>
    <w:rsid w:val="00334497"/>
    <w:rsid w:val="00340A6F"/>
    <w:rsid w:val="003461DB"/>
    <w:rsid w:val="00346302"/>
    <w:rsid w:val="00350777"/>
    <w:rsid w:val="00356D1A"/>
    <w:rsid w:val="0036619E"/>
    <w:rsid w:val="0036696F"/>
    <w:rsid w:val="00373CCF"/>
    <w:rsid w:val="0038232B"/>
    <w:rsid w:val="003826B3"/>
    <w:rsid w:val="00392D4E"/>
    <w:rsid w:val="00396343"/>
    <w:rsid w:val="003A4FDF"/>
    <w:rsid w:val="003B0A14"/>
    <w:rsid w:val="003B20CA"/>
    <w:rsid w:val="003C17A9"/>
    <w:rsid w:val="003C6C3F"/>
    <w:rsid w:val="003C77C3"/>
    <w:rsid w:val="003D17F9"/>
    <w:rsid w:val="003D3A1F"/>
    <w:rsid w:val="003D42AF"/>
    <w:rsid w:val="003D6E16"/>
    <w:rsid w:val="003E67D9"/>
    <w:rsid w:val="003F0637"/>
    <w:rsid w:val="003F26C8"/>
    <w:rsid w:val="0040386F"/>
    <w:rsid w:val="0041771E"/>
    <w:rsid w:val="0042613E"/>
    <w:rsid w:val="00431F5B"/>
    <w:rsid w:val="004331FC"/>
    <w:rsid w:val="00453543"/>
    <w:rsid w:val="004623A3"/>
    <w:rsid w:val="00466B35"/>
    <w:rsid w:val="00486762"/>
    <w:rsid w:val="004867E2"/>
    <w:rsid w:val="004A4E71"/>
    <w:rsid w:val="004B0826"/>
    <w:rsid w:val="004D4AFE"/>
    <w:rsid w:val="004D6A39"/>
    <w:rsid w:val="004F3B85"/>
    <w:rsid w:val="005018F6"/>
    <w:rsid w:val="0050460F"/>
    <w:rsid w:val="005125C8"/>
    <w:rsid w:val="0052141A"/>
    <w:rsid w:val="00522498"/>
    <w:rsid w:val="00534B8E"/>
    <w:rsid w:val="0053513C"/>
    <w:rsid w:val="00535A8A"/>
    <w:rsid w:val="00536501"/>
    <w:rsid w:val="0054201C"/>
    <w:rsid w:val="005436DB"/>
    <w:rsid w:val="00552C52"/>
    <w:rsid w:val="00556AD4"/>
    <w:rsid w:val="005655FB"/>
    <w:rsid w:val="0056662D"/>
    <w:rsid w:val="00571366"/>
    <w:rsid w:val="0057671C"/>
    <w:rsid w:val="0058207B"/>
    <w:rsid w:val="0058320B"/>
    <w:rsid w:val="00586800"/>
    <w:rsid w:val="00590BDB"/>
    <w:rsid w:val="00593931"/>
    <w:rsid w:val="005963DD"/>
    <w:rsid w:val="005B1991"/>
    <w:rsid w:val="005B67CE"/>
    <w:rsid w:val="005C3B6F"/>
    <w:rsid w:val="005D006A"/>
    <w:rsid w:val="005D2E49"/>
    <w:rsid w:val="005F319F"/>
    <w:rsid w:val="00607DF1"/>
    <w:rsid w:val="00616ABF"/>
    <w:rsid w:val="0062553C"/>
    <w:rsid w:val="00637A5B"/>
    <w:rsid w:val="0064098E"/>
    <w:rsid w:val="00665D42"/>
    <w:rsid w:val="006666D3"/>
    <w:rsid w:val="00666BCA"/>
    <w:rsid w:val="00671141"/>
    <w:rsid w:val="00672A60"/>
    <w:rsid w:val="006817F5"/>
    <w:rsid w:val="006859BE"/>
    <w:rsid w:val="0068720B"/>
    <w:rsid w:val="006A0022"/>
    <w:rsid w:val="006B35EA"/>
    <w:rsid w:val="006E2A4E"/>
    <w:rsid w:val="00705BE7"/>
    <w:rsid w:val="0071030A"/>
    <w:rsid w:val="007159A1"/>
    <w:rsid w:val="00716AD4"/>
    <w:rsid w:val="00726956"/>
    <w:rsid w:val="00726CF5"/>
    <w:rsid w:val="00730E67"/>
    <w:rsid w:val="007458D4"/>
    <w:rsid w:val="00750409"/>
    <w:rsid w:val="007552C8"/>
    <w:rsid w:val="00762C24"/>
    <w:rsid w:val="00792542"/>
    <w:rsid w:val="00793165"/>
    <w:rsid w:val="007A2214"/>
    <w:rsid w:val="007A466C"/>
    <w:rsid w:val="007B5958"/>
    <w:rsid w:val="007C4D6B"/>
    <w:rsid w:val="007C5530"/>
    <w:rsid w:val="007D6FD5"/>
    <w:rsid w:val="007D7428"/>
    <w:rsid w:val="007E32B7"/>
    <w:rsid w:val="007F6326"/>
    <w:rsid w:val="007F697B"/>
    <w:rsid w:val="0080051B"/>
    <w:rsid w:val="00800A68"/>
    <w:rsid w:val="00807D54"/>
    <w:rsid w:val="008106CD"/>
    <w:rsid w:val="008124D5"/>
    <w:rsid w:val="008201F9"/>
    <w:rsid w:val="008264EB"/>
    <w:rsid w:val="008311B9"/>
    <w:rsid w:val="00837B0D"/>
    <w:rsid w:val="008457D9"/>
    <w:rsid w:val="0086094A"/>
    <w:rsid w:val="00867F5E"/>
    <w:rsid w:val="00871C17"/>
    <w:rsid w:val="00877F51"/>
    <w:rsid w:val="00891A5D"/>
    <w:rsid w:val="008969B8"/>
    <w:rsid w:val="008A7388"/>
    <w:rsid w:val="008B1122"/>
    <w:rsid w:val="008B5D57"/>
    <w:rsid w:val="008B6444"/>
    <w:rsid w:val="008B6633"/>
    <w:rsid w:val="008B7C63"/>
    <w:rsid w:val="008D22B5"/>
    <w:rsid w:val="008D31CD"/>
    <w:rsid w:val="008D5CEF"/>
    <w:rsid w:val="008E4637"/>
    <w:rsid w:val="008E6D92"/>
    <w:rsid w:val="008F2C41"/>
    <w:rsid w:val="008F79F3"/>
    <w:rsid w:val="00904734"/>
    <w:rsid w:val="00923208"/>
    <w:rsid w:val="00927271"/>
    <w:rsid w:val="009331AA"/>
    <w:rsid w:val="009433D1"/>
    <w:rsid w:val="00951E20"/>
    <w:rsid w:val="00957903"/>
    <w:rsid w:val="0096690E"/>
    <w:rsid w:val="00967487"/>
    <w:rsid w:val="0096794B"/>
    <w:rsid w:val="009A7F08"/>
    <w:rsid w:val="009C26A1"/>
    <w:rsid w:val="009C621E"/>
    <w:rsid w:val="009D2666"/>
    <w:rsid w:val="009E0936"/>
    <w:rsid w:val="009E2203"/>
    <w:rsid w:val="009E3FDC"/>
    <w:rsid w:val="009F3E5C"/>
    <w:rsid w:val="009F3E7E"/>
    <w:rsid w:val="00A40D63"/>
    <w:rsid w:val="00A410A4"/>
    <w:rsid w:val="00A4512D"/>
    <w:rsid w:val="00A5384B"/>
    <w:rsid w:val="00A54122"/>
    <w:rsid w:val="00A6070D"/>
    <w:rsid w:val="00A65838"/>
    <w:rsid w:val="00A705AA"/>
    <w:rsid w:val="00A705AF"/>
    <w:rsid w:val="00A778DC"/>
    <w:rsid w:val="00A81797"/>
    <w:rsid w:val="00A832F6"/>
    <w:rsid w:val="00A84533"/>
    <w:rsid w:val="00A95057"/>
    <w:rsid w:val="00A96848"/>
    <w:rsid w:val="00AB246D"/>
    <w:rsid w:val="00AB25BF"/>
    <w:rsid w:val="00AC3656"/>
    <w:rsid w:val="00AC5540"/>
    <w:rsid w:val="00AD1CD6"/>
    <w:rsid w:val="00AD3BF2"/>
    <w:rsid w:val="00AD72BE"/>
    <w:rsid w:val="00AD7E61"/>
    <w:rsid w:val="00AF57CD"/>
    <w:rsid w:val="00AF58B0"/>
    <w:rsid w:val="00AF6AFE"/>
    <w:rsid w:val="00AF798B"/>
    <w:rsid w:val="00B00E3C"/>
    <w:rsid w:val="00B02E4A"/>
    <w:rsid w:val="00B10659"/>
    <w:rsid w:val="00B11990"/>
    <w:rsid w:val="00B11DE3"/>
    <w:rsid w:val="00B13265"/>
    <w:rsid w:val="00B20283"/>
    <w:rsid w:val="00B42851"/>
    <w:rsid w:val="00B429B6"/>
    <w:rsid w:val="00B43988"/>
    <w:rsid w:val="00B476D1"/>
    <w:rsid w:val="00B601DE"/>
    <w:rsid w:val="00B73D21"/>
    <w:rsid w:val="00B90669"/>
    <w:rsid w:val="00BA56CB"/>
    <w:rsid w:val="00BC4D3A"/>
    <w:rsid w:val="00BC5473"/>
    <w:rsid w:val="00BE596C"/>
    <w:rsid w:val="00BF05CD"/>
    <w:rsid w:val="00BF393F"/>
    <w:rsid w:val="00C0493B"/>
    <w:rsid w:val="00C14988"/>
    <w:rsid w:val="00C175F1"/>
    <w:rsid w:val="00C1777E"/>
    <w:rsid w:val="00C24BAC"/>
    <w:rsid w:val="00C42ED0"/>
    <w:rsid w:val="00C511D5"/>
    <w:rsid w:val="00C53CBD"/>
    <w:rsid w:val="00C65E47"/>
    <w:rsid w:val="00C762EA"/>
    <w:rsid w:val="00C84175"/>
    <w:rsid w:val="00C9093A"/>
    <w:rsid w:val="00CA794A"/>
    <w:rsid w:val="00CB5B1A"/>
    <w:rsid w:val="00CC17C3"/>
    <w:rsid w:val="00CD36B2"/>
    <w:rsid w:val="00CE2E1E"/>
    <w:rsid w:val="00CE3A3B"/>
    <w:rsid w:val="00CE3CDD"/>
    <w:rsid w:val="00CE72BC"/>
    <w:rsid w:val="00CF536F"/>
    <w:rsid w:val="00D00EA7"/>
    <w:rsid w:val="00D14831"/>
    <w:rsid w:val="00D17328"/>
    <w:rsid w:val="00D31104"/>
    <w:rsid w:val="00D347FA"/>
    <w:rsid w:val="00D4371D"/>
    <w:rsid w:val="00D53109"/>
    <w:rsid w:val="00D66381"/>
    <w:rsid w:val="00D71B26"/>
    <w:rsid w:val="00D77A10"/>
    <w:rsid w:val="00D80923"/>
    <w:rsid w:val="00D91DE1"/>
    <w:rsid w:val="00DA1E3C"/>
    <w:rsid w:val="00DB19E6"/>
    <w:rsid w:val="00DB683D"/>
    <w:rsid w:val="00DC0B7C"/>
    <w:rsid w:val="00DC21CC"/>
    <w:rsid w:val="00DE198E"/>
    <w:rsid w:val="00DE622A"/>
    <w:rsid w:val="00DE71FC"/>
    <w:rsid w:val="00DF189B"/>
    <w:rsid w:val="00DF33EA"/>
    <w:rsid w:val="00DF6B0E"/>
    <w:rsid w:val="00E1076C"/>
    <w:rsid w:val="00E15715"/>
    <w:rsid w:val="00E17A8C"/>
    <w:rsid w:val="00E5583A"/>
    <w:rsid w:val="00E61B27"/>
    <w:rsid w:val="00E63EAC"/>
    <w:rsid w:val="00E72062"/>
    <w:rsid w:val="00E77524"/>
    <w:rsid w:val="00E933C9"/>
    <w:rsid w:val="00E93A24"/>
    <w:rsid w:val="00EA32FD"/>
    <w:rsid w:val="00EA5C77"/>
    <w:rsid w:val="00EB3653"/>
    <w:rsid w:val="00EB6123"/>
    <w:rsid w:val="00EB6A7A"/>
    <w:rsid w:val="00EC6FB0"/>
    <w:rsid w:val="00ED1795"/>
    <w:rsid w:val="00ED60CC"/>
    <w:rsid w:val="00EE0CDA"/>
    <w:rsid w:val="00EF6795"/>
    <w:rsid w:val="00F10636"/>
    <w:rsid w:val="00F14315"/>
    <w:rsid w:val="00F1491D"/>
    <w:rsid w:val="00F21DD3"/>
    <w:rsid w:val="00F2513A"/>
    <w:rsid w:val="00F2513D"/>
    <w:rsid w:val="00F3122A"/>
    <w:rsid w:val="00F340F4"/>
    <w:rsid w:val="00F40C95"/>
    <w:rsid w:val="00F520AA"/>
    <w:rsid w:val="00F60AA0"/>
    <w:rsid w:val="00F735B2"/>
    <w:rsid w:val="00F77241"/>
    <w:rsid w:val="00F80D6A"/>
    <w:rsid w:val="00F83077"/>
    <w:rsid w:val="00F85E77"/>
    <w:rsid w:val="00FA1116"/>
    <w:rsid w:val="00FA23E0"/>
    <w:rsid w:val="00FB3056"/>
    <w:rsid w:val="00FB4582"/>
    <w:rsid w:val="00FC1A43"/>
    <w:rsid w:val="00FD29CD"/>
    <w:rsid w:val="00FD6E04"/>
    <w:rsid w:val="00FE56E8"/>
    <w:rsid w:val="00FF0586"/>
    <w:rsid w:val="00FF3E4F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DA9AA7"/>
  <w15:docId w15:val="{D752B338-961A-49E1-8C73-8B35E85F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36F"/>
    <w:pPr>
      <w:spacing w:before="120" w:after="120"/>
    </w:pPr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RGPictureCentre">
    <w:name w:val="QRG Picture Centre"/>
    <w:next w:val="QRGText"/>
    <w:qFormat/>
    <w:rsid w:val="00705BE7"/>
    <w:pPr>
      <w:spacing w:before="60" w:after="60"/>
      <w:jc w:val="center"/>
    </w:pPr>
    <w:rPr>
      <w:rFonts w:ascii="Tahoma" w:hAnsi="Tahoma"/>
      <w:noProof/>
      <w:sz w:val="22"/>
      <w:szCs w:val="24"/>
    </w:rPr>
  </w:style>
  <w:style w:type="paragraph" w:styleId="BalloonText">
    <w:name w:val="Balloon Text"/>
    <w:basedOn w:val="Normal"/>
    <w:link w:val="BalloonTextChar"/>
    <w:rsid w:val="003D3A1F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3A1F"/>
    <w:rPr>
      <w:rFonts w:ascii="Tahoma" w:hAnsi="Tahoma" w:cs="Tahoma"/>
      <w:sz w:val="16"/>
      <w:szCs w:val="16"/>
      <w:lang w:eastAsia="en-US"/>
    </w:rPr>
  </w:style>
  <w:style w:type="paragraph" w:customStyle="1" w:styleId="QRGPictureLeft">
    <w:name w:val="QRG Picture Left"/>
    <w:next w:val="QRGText"/>
    <w:qFormat/>
    <w:rsid w:val="00705BE7"/>
    <w:pPr>
      <w:spacing w:before="60" w:after="60"/>
    </w:pPr>
    <w:rPr>
      <w:rFonts w:ascii="Tahoma" w:hAnsi="Tahoma"/>
      <w:noProof/>
      <w:sz w:val="22"/>
      <w:szCs w:val="24"/>
    </w:rPr>
  </w:style>
  <w:style w:type="paragraph" w:customStyle="1" w:styleId="QRGPictureRight">
    <w:name w:val="QRG Picture Right"/>
    <w:next w:val="QRGText"/>
    <w:qFormat/>
    <w:rsid w:val="00607DF1"/>
    <w:pPr>
      <w:spacing w:before="60" w:after="60"/>
    </w:pPr>
    <w:rPr>
      <w:rFonts w:ascii="Tahoma" w:hAnsi="Tahoma"/>
      <w:noProof/>
      <w:sz w:val="22"/>
      <w:szCs w:val="24"/>
    </w:rPr>
  </w:style>
  <w:style w:type="paragraph" w:customStyle="1" w:styleId="QRGTableTextCentre">
    <w:name w:val="QRG Table Text Centre"/>
    <w:basedOn w:val="QRGText"/>
    <w:qFormat/>
    <w:rsid w:val="00607DF1"/>
    <w:pPr>
      <w:jc w:val="center"/>
    </w:pPr>
  </w:style>
  <w:style w:type="paragraph" w:customStyle="1" w:styleId="QRGTableTextLeft">
    <w:name w:val="QRG Table Text Left"/>
    <w:basedOn w:val="QRGText"/>
    <w:qFormat/>
    <w:rsid w:val="00AF58B0"/>
    <w:rPr>
      <w:sz w:val="20"/>
    </w:rPr>
  </w:style>
  <w:style w:type="paragraph" w:customStyle="1" w:styleId="QRGTabelTextRight">
    <w:name w:val="QRG Tabel Text Right"/>
    <w:basedOn w:val="QRGText"/>
    <w:qFormat/>
    <w:rsid w:val="00607DF1"/>
    <w:pPr>
      <w:jc w:val="right"/>
    </w:pPr>
  </w:style>
  <w:style w:type="paragraph" w:customStyle="1" w:styleId="QRGSubHeading">
    <w:name w:val="QRG Sub Heading"/>
    <w:next w:val="QRGText"/>
    <w:rsid w:val="0086094A"/>
    <w:pPr>
      <w:spacing w:before="120" w:after="60"/>
    </w:pPr>
    <w:rPr>
      <w:rFonts w:ascii="Tahoma" w:hAnsi="Tahoma"/>
      <w:b/>
      <w:bCs/>
      <w:color w:val="00206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9316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93165"/>
    <w:rPr>
      <w:rFonts w:ascii="Tahoma" w:hAnsi="Tahoma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135C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135C0E"/>
    <w:rPr>
      <w:rFonts w:ascii="Tahoma" w:hAnsi="Tahoma"/>
      <w:sz w:val="24"/>
      <w:szCs w:val="24"/>
      <w:lang w:eastAsia="en-US"/>
    </w:rPr>
  </w:style>
  <w:style w:type="paragraph" w:customStyle="1" w:styleId="QRGFooter">
    <w:name w:val="QRG Footer"/>
    <w:qFormat/>
    <w:rsid w:val="00F735B2"/>
    <w:pPr>
      <w:jc w:val="right"/>
    </w:pPr>
    <w:rPr>
      <w:rFonts w:ascii="Tahoma" w:hAnsi="Tahoma"/>
      <w:szCs w:val="24"/>
      <w:lang w:eastAsia="en-US"/>
    </w:rPr>
  </w:style>
  <w:style w:type="paragraph" w:customStyle="1" w:styleId="QRGHeaderText">
    <w:name w:val="QRG Header Text"/>
    <w:qFormat/>
    <w:rsid w:val="00EB6A7A"/>
    <w:pPr>
      <w:tabs>
        <w:tab w:val="left" w:pos="6237"/>
      </w:tabs>
      <w:spacing w:before="120" w:after="120"/>
    </w:pPr>
    <w:rPr>
      <w:rFonts w:ascii="Tahoma" w:hAnsi="Tahoma"/>
      <w:position w:val="6"/>
      <w:sz w:val="36"/>
      <w:szCs w:val="24"/>
      <w:lang w:eastAsia="en-US"/>
    </w:rPr>
  </w:style>
  <w:style w:type="paragraph" w:customStyle="1" w:styleId="QRGMainPicture">
    <w:name w:val="QRG Main Picture"/>
    <w:qFormat/>
    <w:rsid w:val="00056198"/>
    <w:pPr>
      <w:spacing w:before="120" w:after="120"/>
      <w:jc w:val="center"/>
    </w:pPr>
    <w:rPr>
      <w:sz w:val="24"/>
      <w:szCs w:val="24"/>
      <w:lang w:eastAsia="en-US"/>
    </w:rPr>
  </w:style>
  <w:style w:type="paragraph" w:customStyle="1" w:styleId="QRGHeading">
    <w:name w:val="QRG Heading"/>
    <w:next w:val="Normal"/>
    <w:qFormat/>
    <w:rsid w:val="009331AA"/>
    <w:pPr>
      <w:pBdr>
        <w:top w:val="single" w:sz="8" w:space="1" w:color="1F497D" w:themeColor="text2"/>
        <w:left w:val="single" w:sz="8" w:space="4" w:color="1F497D" w:themeColor="text2"/>
        <w:bottom w:val="single" w:sz="8" w:space="1" w:color="1F497D" w:themeColor="text2"/>
        <w:right w:val="single" w:sz="8" w:space="4" w:color="1F497D" w:themeColor="text2"/>
      </w:pBdr>
      <w:shd w:val="clear" w:color="auto" w:fill="1F497D" w:themeFill="text2"/>
    </w:pPr>
    <w:rPr>
      <w:rFonts w:ascii="Tahoma" w:hAnsi="Tahoma"/>
      <w:b/>
      <w:color w:val="FFFFFF" w:themeColor="background1"/>
      <w:sz w:val="24"/>
      <w:szCs w:val="24"/>
      <w:lang w:eastAsia="en-US"/>
    </w:rPr>
  </w:style>
  <w:style w:type="paragraph" w:customStyle="1" w:styleId="QRGText">
    <w:name w:val="QRG Text"/>
    <w:qFormat/>
    <w:rsid w:val="00056198"/>
    <w:pPr>
      <w:spacing w:before="60" w:after="60"/>
    </w:pPr>
    <w:rPr>
      <w:rFonts w:ascii="Tahoma" w:hAnsi="Tahoma"/>
      <w:sz w:val="22"/>
      <w:szCs w:val="24"/>
      <w:lang w:eastAsia="en-US"/>
    </w:rPr>
  </w:style>
  <w:style w:type="paragraph" w:customStyle="1" w:styleId="QRGBullet1">
    <w:name w:val="QRG Bullet 1"/>
    <w:link w:val="QRGBullet1Char"/>
    <w:qFormat/>
    <w:rsid w:val="0057671C"/>
    <w:pPr>
      <w:numPr>
        <w:numId w:val="1"/>
      </w:numPr>
      <w:spacing w:before="60" w:after="60"/>
    </w:pPr>
    <w:rPr>
      <w:rFonts w:ascii="Tahoma" w:hAnsi="Tahoma"/>
      <w:sz w:val="22"/>
      <w:szCs w:val="24"/>
      <w:lang w:eastAsia="en-US"/>
    </w:rPr>
  </w:style>
  <w:style w:type="paragraph" w:customStyle="1" w:styleId="QRGNumbering1">
    <w:name w:val="QRG Numbering 1"/>
    <w:link w:val="QRGNumbering1Char"/>
    <w:qFormat/>
    <w:rsid w:val="0057671C"/>
    <w:pPr>
      <w:numPr>
        <w:numId w:val="2"/>
      </w:numPr>
      <w:spacing w:before="60" w:after="60"/>
    </w:pPr>
    <w:rPr>
      <w:rFonts w:ascii="Tahoma" w:hAnsi="Tahoma"/>
      <w:sz w:val="22"/>
      <w:szCs w:val="24"/>
      <w:lang w:eastAsia="en-US"/>
    </w:rPr>
  </w:style>
  <w:style w:type="table" w:styleId="TableGrid">
    <w:name w:val="Table Grid"/>
    <w:basedOn w:val="TableNormal"/>
    <w:rsid w:val="00DF1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RGTableHeading">
    <w:name w:val="QRG Table Heading"/>
    <w:qFormat/>
    <w:rsid w:val="00DF189B"/>
    <w:pPr>
      <w:spacing w:before="60" w:after="60"/>
      <w:jc w:val="center"/>
    </w:pPr>
    <w:rPr>
      <w:rFonts w:ascii="Tahoma" w:hAnsi="Tahoma"/>
      <w:b/>
      <w:sz w:val="22"/>
      <w:szCs w:val="24"/>
      <w:lang w:eastAsia="en-US"/>
    </w:rPr>
  </w:style>
  <w:style w:type="paragraph" w:customStyle="1" w:styleId="QRGAfterTableSpace">
    <w:name w:val="QRG After Table Space"/>
    <w:next w:val="QRGText"/>
    <w:qFormat/>
    <w:rsid w:val="00D53109"/>
    <w:rPr>
      <w:rFonts w:ascii="Tahoma" w:hAnsi="Tahoma"/>
      <w:sz w:val="12"/>
      <w:szCs w:val="24"/>
      <w:lang w:eastAsia="en-US"/>
    </w:rPr>
  </w:style>
  <w:style w:type="paragraph" w:customStyle="1" w:styleId="QRGNumbering2">
    <w:name w:val="QRG Numbering 2"/>
    <w:link w:val="QRGNumbering2Char"/>
    <w:qFormat/>
    <w:rsid w:val="0058320B"/>
    <w:pPr>
      <w:numPr>
        <w:ilvl w:val="1"/>
        <w:numId w:val="2"/>
      </w:numPr>
      <w:spacing w:before="60" w:after="60"/>
    </w:pPr>
    <w:rPr>
      <w:rFonts w:ascii="Tahoma" w:hAnsi="Tahoma"/>
      <w:sz w:val="22"/>
      <w:szCs w:val="24"/>
      <w:lang w:eastAsia="en-US"/>
    </w:rPr>
  </w:style>
  <w:style w:type="paragraph" w:customStyle="1" w:styleId="QRGBullet2">
    <w:name w:val="QRG Bullet 2"/>
    <w:link w:val="QRGBullet2Char"/>
    <w:qFormat/>
    <w:rsid w:val="0058320B"/>
    <w:pPr>
      <w:numPr>
        <w:ilvl w:val="1"/>
        <w:numId w:val="3"/>
      </w:numPr>
      <w:spacing w:before="60" w:after="60"/>
      <w:ind w:left="992" w:hanging="425"/>
    </w:pPr>
    <w:rPr>
      <w:rFonts w:ascii="Tahoma" w:hAnsi="Tahoma"/>
      <w:sz w:val="22"/>
      <w:szCs w:val="24"/>
      <w:lang w:eastAsia="en-US"/>
    </w:rPr>
  </w:style>
  <w:style w:type="character" w:customStyle="1" w:styleId="QRGNumbering1Char">
    <w:name w:val="QRG Numbering 1 Char"/>
    <w:basedOn w:val="DefaultParagraphFont"/>
    <w:link w:val="QRGNumbering1"/>
    <w:rsid w:val="0058320B"/>
    <w:rPr>
      <w:rFonts w:ascii="Tahoma" w:hAnsi="Tahoma"/>
      <w:sz w:val="22"/>
      <w:szCs w:val="24"/>
      <w:lang w:eastAsia="en-US"/>
    </w:rPr>
  </w:style>
  <w:style w:type="character" w:customStyle="1" w:styleId="QRGNumbering2Char">
    <w:name w:val="QRG Numbering 2 Char"/>
    <w:basedOn w:val="QRGNumbering1Char"/>
    <w:link w:val="QRGNumbering2"/>
    <w:rsid w:val="0058320B"/>
    <w:rPr>
      <w:rFonts w:ascii="Tahoma" w:hAnsi="Tahoma"/>
      <w:sz w:val="22"/>
      <w:szCs w:val="24"/>
      <w:lang w:eastAsia="en-US"/>
    </w:rPr>
  </w:style>
  <w:style w:type="character" w:customStyle="1" w:styleId="QRGBullet1Char">
    <w:name w:val="QRG Bullet 1 Char"/>
    <w:basedOn w:val="DefaultParagraphFont"/>
    <w:link w:val="QRGBullet1"/>
    <w:rsid w:val="0058320B"/>
    <w:rPr>
      <w:rFonts w:ascii="Tahoma" w:hAnsi="Tahoma"/>
      <w:sz w:val="22"/>
      <w:szCs w:val="24"/>
      <w:lang w:eastAsia="en-US"/>
    </w:rPr>
  </w:style>
  <w:style w:type="character" w:customStyle="1" w:styleId="QRGBullet2Char">
    <w:name w:val="QRG Bullet 2 Char"/>
    <w:basedOn w:val="QRGBullet1Char"/>
    <w:link w:val="QRGBullet2"/>
    <w:rsid w:val="0058320B"/>
    <w:rPr>
      <w:rFonts w:ascii="Tahoma" w:hAnsi="Tahoma"/>
      <w:sz w:val="22"/>
      <w:szCs w:val="24"/>
      <w:lang w:eastAsia="en-US"/>
    </w:rPr>
  </w:style>
  <w:style w:type="character" w:customStyle="1" w:styleId="QRGBold">
    <w:name w:val="QRG Bold"/>
    <w:basedOn w:val="DefaultParagraphFont"/>
    <w:uiPriority w:val="1"/>
    <w:qFormat/>
    <w:rsid w:val="00F735B2"/>
    <w:rPr>
      <w:b/>
    </w:rPr>
  </w:style>
  <w:style w:type="paragraph" w:customStyle="1" w:styleId="QRGSubtitle">
    <w:name w:val="QRG Subtitle"/>
    <w:basedOn w:val="Normal"/>
    <w:rsid w:val="00867F5E"/>
    <w:pPr>
      <w:spacing w:before="0" w:after="0"/>
    </w:pPr>
    <w:rPr>
      <w:rFonts w:ascii="Arial" w:hAnsi="Arial" w:cs="Arial"/>
      <w:color w:val="FFFFFF"/>
      <w:kern w:val="28"/>
      <w:sz w:val="32"/>
      <w:szCs w:val="32"/>
      <w:lang w:eastAsia="en-AU"/>
      <w14:ligatures w14:val="standard"/>
      <w14:cntxtAlts/>
    </w:rPr>
  </w:style>
  <w:style w:type="paragraph" w:styleId="Signature">
    <w:name w:val="Signature"/>
    <w:basedOn w:val="Normal"/>
    <w:link w:val="SignatureChar"/>
    <w:unhideWhenUsed/>
    <w:rsid w:val="00EA32FD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EA32FD"/>
    <w:rPr>
      <w:rFonts w:ascii="Tahoma" w:hAnsi="Tahoma"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AF58B0"/>
    <w:rPr>
      <w:color w:val="0000FF" w:themeColor="hyperlink"/>
      <w:u w:val="single"/>
    </w:rPr>
  </w:style>
  <w:style w:type="paragraph" w:customStyle="1" w:styleId="StepText">
    <w:name w:val="Step Text"/>
    <w:basedOn w:val="Normal"/>
    <w:qFormat/>
    <w:rsid w:val="00CD36B2"/>
    <w:rPr>
      <w:rFonts w:ascii="Arial" w:eastAsiaTheme="minorHAnsi" w:hAnsi="Arial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s://dataportal.health.gov.au/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your TIS Performance Report</vt:lpstr>
    </vt:vector>
  </TitlesOfParts>
  <Company>Department of Immigration and Border Protection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 your TIS Performance Report</dc:title>
  <dc:creator>Joel Dennerley</dc:creator>
  <cp:lastModifiedBy>DUNN, Stuart</cp:lastModifiedBy>
  <cp:revision>77</cp:revision>
  <cp:lastPrinted>2024-09-11T04:03:00Z</cp:lastPrinted>
  <dcterms:created xsi:type="dcterms:W3CDTF">2022-08-19T03:36:00Z</dcterms:created>
  <dcterms:modified xsi:type="dcterms:W3CDTF">2024-09-11T04:04:00Z</dcterms:modified>
</cp:coreProperties>
</file>