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3030676F" w:rsidR="002B5DB3" w:rsidRDefault="00C80B55" w:rsidP="002B5DB3">
      <w:r>
        <w:rPr>
          <w:noProof/>
        </w:rPr>
        <w:drawing>
          <wp:inline distT="0" distB="0" distL="0" distR="0" wp14:anchorId="1074F8EF" wp14:editId="50B9D054">
            <wp:extent cx="4381500" cy="1333500"/>
            <wp:effectExtent l="0" t="0" r="0" b="0"/>
            <wp:docPr id="1579922903"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22903" name="Picture 1" descr="Australian Government Department of Health, Disability and Age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33500"/>
                    </a:xfrm>
                    <a:prstGeom prst="rect">
                      <a:avLst/>
                    </a:prstGeom>
                    <a:noFill/>
                    <a:ln>
                      <a:noFill/>
                    </a:ln>
                  </pic:spPr>
                </pic:pic>
              </a:graphicData>
            </a:graphic>
          </wp:inline>
        </w:drawing>
      </w:r>
    </w:p>
    <w:p w14:paraId="20CFA9A0" w14:textId="77777777" w:rsidR="002B5DB3" w:rsidRDefault="002B5DB3" w:rsidP="002B5DB3"/>
    <w:p w14:paraId="14B8BB51" w14:textId="77777777" w:rsidR="002B5DB3" w:rsidRDefault="002B5DB3" w:rsidP="002B5DB3"/>
    <w:p w14:paraId="381D4A87" w14:textId="51031B85" w:rsidR="002B5DB3" w:rsidRPr="00EF7331" w:rsidRDefault="00383B00" w:rsidP="002B5DB3">
      <w:pPr>
        <w:pStyle w:val="TitlePage1SH"/>
        <w:rPr>
          <w:sz w:val="48"/>
          <w:szCs w:val="36"/>
        </w:rPr>
      </w:pPr>
      <w:r>
        <w:rPr>
          <w:sz w:val="48"/>
          <w:szCs w:val="36"/>
        </w:rPr>
        <w:t xml:space="preserve">First Nations </w:t>
      </w:r>
      <w:r w:rsidR="005440C7">
        <w:rPr>
          <w:sz w:val="48"/>
          <w:szCs w:val="36"/>
        </w:rPr>
        <w:t>Health Reporting:</w:t>
      </w:r>
    </w:p>
    <w:p w14:paraId="56C0E905" w14:textId="61DF6BD8" w:rsidR="002B5DB3" w:rsidRPr="00EF7331" w:rsidRDefault="00873CD6" w:rsidP="002B5DB3">
      <w:pPr>
        <w:pStyle w:val="TitlePage2SH"/>
        <w:pBdr>
          <w:bottom w:val="single" w:sz="24" w:space="1" w:color="0C2340"/>
        </w:pBdr>
        <w:spacing w:after="0"/>
        <w:rPr>
          <w:sz w:val="48"/>
          <w:szCs w:val="36"/>
        </w:rPr>
      </w:pPr>
      <w:r>
        <w:rPr>
          <w:sz w:val="48"/>
          <w:szCs w:val="36"/>
        </w:rPr>
        <w:t xml:space="preserve">nKPI </w:t>
      </w:r>
      <w:r w:rsidR="005440C7">
        <w:rPr>
          <w:sz w:val="48"/>
          <w:szCs w:val="36"/>
        </w:rPr>
        <w:t xml:space="preserve">- </w:t>
      </w:r>
      <w:r w:rsidR="00055DB4">
        <w:rPr>
          <w:sz w:val="48"/>
          <w:szCs w:val="36"/>
        </w:rPr>
        <w:t>Communicare</w:t>
      </w:r>
      <w:r w:rsidR="005440C7">
        <w:rPr>
          <w:sz w:val="48"/>
          <w:szCs w:val="36"/>
        </w:rPr>
        <w:t xml:space="preserve"> </w:t>
      </w:r>
      <w:r>
        <w:rPr>
          <w:sz w:val="48"/>
          <w:szCs w:val="36"/>
        </w:rPr>
        <w:t xml:space="preserve">Data </w:t>
      </w:r>
      <w:r w:rsidR="005440C7">
        <w:rPr>
          <w:sz w:val="48"/>
          <w:szCs w:val="36"/>
        </w:rPr>
        <w:t>L</w:t>
      </w:r>
      <w:r>
        <w:rPr>
          <w:sz w:val="48"/>
          <w:szCs w:val="36"/>
        </w:rPr>
        <w:t>imitations</w:t>
      </w:r>
    </w:p>
    <w:p w14:paraId="41B845B3" w14:textId="77777777" w:rsidR="002B5DB3" w:rsidRPr="00B45936" w:rsidRDefault="002B5DB3" w:rsidP="002B5DB3">
      <w:pPr>
        <w:pStyle w:val="TitlePage2SH"/>
        <w:pBdr>
          <w:bottom w:val="single" w:sz="24" w:space="1" w:color="0C2340"/>
        </w:pBdr>
        <w:spacing w:before="120" w:after="0"/>
        <w:rPr>
          <w:sz w:val="21"/>
          <w:szCs w:val="16"/>
        </w:rPr>
      </w:pPr>
    </w:p>
    <w:p w14:paraId="5556B88C" w14:textId="77777777" w:rsidR="002B5DB3" w:rsidRPr="00CD0966" w:rsidRDefault="002B5DB3" w:rsidP="002B5DB3"/>
    <w:p w14:paraId="01CB48BF" w14:textId="18F2876F" w:rsidR="002B5DB3" w:rsidRPr="003261DD" w:rsidRDefault="002B5DB3" w:rsidP="002A4302">
      <w:pPr>
        <w:pStyle w:val="Heading1SH"/>
        <w:rPr>
          <w:lang w:eastAsia="en-AU"/>
        </w:rPr>
      </w:pPr>
      <w:r>
        <w:t>Introduction</w:t>
      </w:r>
    </w:p>
    <w:p w14:paraId="2CE5D4F9" w14:textId="24B3B3F3" w:rsidR="00DD0267" w:rsidRDefault="00820287">
      <w:pPr>
        <w:pStyle w:val="BodytextSH"/>
        <w:rPr>
          <w:rFonts w:eastAsia="Times New Roman" w:cs="Times New Roman"/>
          <w:lang w:eastAsia="en-AU"/>
        </w:rPr>
      </w:pPr>
      <w:r>
        <w:rPr>
          <w:rFonts w:eastAsia="Times New Roman" w:cs="Times New Roman"/>
          <w:lang w:eastAsia="en-AU"/>
        </w:rPr>
        <w:t xml:space="preserve">The </w:t>
      </w:r>
      <w:r w:rsidR="003F14CA">
        <w:rPr>
          <w:rFonts w:eastAsia="Times New Roman" w:cs="Times New Roman"/>
          <w:lang w:eastAsia="en-AU"/>
        </w:rPr>
        <w:t>N</w:t>
      </w:r>
      <w:r w:rsidR="00824718">
        <w:rPr>
          <w:rFonts w:eastAsia="Times New Roman" w:cs="Times New Roman"/>
          <w:lang w:eastAsia="en-AU"/>
        </w:rPr>
        <w:t xml:space="preserve">ational </w:t>
      </w:r>
      <w:r w:rsidR="003F14CA">
        <w:rPr>
          <w:rFonts w:eastAsia="Times New Roman" w:cs="Times New Roman"/>
          <w:lang w:eastAsia="en-AU"/>
        </w:rPr>
        <w:t>K</w:t>
      </w:r>
      <w:r w:rsidR="00824718">
        <w:rPr>
          <w:rFonts w:eastAsia="Times New Roman" w:cs="Times New Roman"/>
          <w:lang w:eastAsia="en-AU"/>
        </w:rPr>
        <w:t xml:space="preserve">ey </w:t>
      </w:r>
      <w:r w:rsidR="003F14CA">
        <w:rPr>
          <w:rFonts w:eastAsia="Times New Roman" w:cs="Times New Roman"/>
          <w:lang w:eastAsia="en-AU"/>
        </w:rPr>
        <w:t>P</w:t>
      </w:r>
      <w:r w:rsidR="00824718">
        <w:rPr>
          <w:rFonts w:eastAsia="Times New Roman" w:cs="Times New Roman"/>
          <w:lang w:eastAsia="en-AU"/>
        </w:rPr>
        <w:t xml:space="preserve">erformance </w:t>
      </w:r>
      <w:r w:rsidR="003F14CA">
        <w:rPr>
          <w:rFonts w:eastAsia="Times New Roman" w:cs="Times New Roman"/>
          <w:lang w:eastAsia="en-AU"/>
        </w:rPr>
        <w:t>I</w:t>
      </w:r>
      <w:r w:rsidR="00824718">
        <w:rPr>
          <w:rFonts w:eastAsia="Times New Roman" w:cs="Times New Roman"/>
          <w:lang w:eastAsia="en-AU"/>
        </w:rPr>
        <w:t>ndicators (</w:t>
      </w:r>
      <w:r>
        <w:rPr>
          <w:rFonts w:eastAsia="Times New Roman" w:cs="Times New Roman"/>
          <w:lang w:eastAsia="en-AU"/>
        </w:rPr>
        <w:t>nKPI</w:t>
      </w:r>
      <w:r w:rsidR="00824718">
        <w:rPr>
          <w:rFonts w:eastAsia="Times New Roman" w:cs="Times New Roman"/>
          <w:lang w:eastAsia="en-AU"/>
        </w:rPr>
        <w:t>)</w:t>
      </w:r>
      <w:r w:rsidR="00ED14F1">
        <w:rPr>
          <w:rFonts w:eastAsia="Times New Roman" w:cs="Times New Roman"/>
          <w:lang w:eastAsia="en-AU"/>
        </w:rPr>
        <w:t xml:space="preserve"> </w:t>
      </w:r>
      <w:r w:rsidR="000D69FA">
        <w:rPr>
          <w:rFonts w:eastAsia="Times New Roman" w:cs="Times New Roman"/>
          <w:lang w:eastAsia="en-AU"/>
        </w:rPr>
        <w:t xml:space="preserve">is a suite of </w:t>
      </w:r>
      <w:r w:rsidR="008970B4">
        <w:rPr>
          <w:rFonts w:eastAsia="Times New Roman" w:cs="Times New Roman"/>
          <w:lang w:eastAsia="en-AU"/>
        </w:rPr>
        <w:t>process</w:t>
      </w:r>
      <w:r w:rsidR="00DD7480">
        <w:rPr>
          <w:rFonts w:eastAsia="Times New Roman" w:cs="Times New Roman"/>
          <w:lang w:eastAsia="en-AU"/>
        </w:rPr>
        <w:t xml:space="preserve"> of care</w:t>
      </w:r>
      <w:r w:rsidR="008970B4">
        <w:rPr>
          <w:rFonts w:eastAsia="Times New Roman" w:cs="Times New Roman"/>
          <w:lang w:eastAsia="en-AU"/>
        </w:rPr>
        <w:t xml:space="preserve"> and health outcome </w:t>
      </w:r>
      <w:r w:rsidR="00D94931">
        <w:rPr>
          <w:rFonts w:eastAsia="Times New Roman" w:cs="Times New Roman"/>
          <w:lang w:eastAsia="en-AU"/>
        </w:rPr>
        <w:t xml:space="preserve">indicators focussing on </w:t>
      </w:r>
      <w:r w:rsidR="008970B4">
        <w:rPr>
          <w:rFonts w:eastAsia="Times New Roman" w:cs="Times New Roman"/>
          <w:lang w:eastAsia="en-AU"/>
        </w:rPr>
        <w:t xml:space="preserve">maternal and child health, </w:t>
      </w:r>
      <w:r w:rsidR="003E4EFC">
        <w:rPr>
          <w:rFonts w:eastAsia="Times New Roman" w:cs="Times New Roman"/>
          <w:lang w:eastAsia="en-AU"/>
        </w:rPr>
        <w:t>preventive health</w:t>
      </w:r>
      <w:r w:rsidR="00E01D4D">
        <w:rPr>
          <w:rFonts w:eastAsia="Times New Roman" w:cs="Times New Roman"/>
          <w:lang w:eastAsia="en-AU"/>
        </w:rPr>
        <w:t>,</w:t>
      </w:r>
      <w:r w:rsidR="003E4EFC">
        <w:rPr>
          <w:rFonts w:eastAsia="Times New Roman" w:cs="Times New Roman"/>
          <w:lang w:eastAsia="en-AU"/>
        </w:rPr>
        <w:t xml:space="preserve"> and </w:t>
      </w:r>
      <w:r w:rsidR="008970B4">
        <w:rPr>
          <w:rFonts w:eastAsia="Times New Roman" w:cs="Times New Roman"/>
          <w:lang w:eastAsia="en-AU"/>
        </w:rPr>
        <w:t>chronic disease management</w:t>
      </w:r>
      <w:r w:rsidR="006E1C94" w:rsidRPr="006E1C94">
        <w:rPr>
          <w:rFonts w:eastAsia="Times New Roman" w:cs="Times New Roman"/>
          <w:lang w:eastAsia="en-AU"/>
        </w:rPr>
        <w:t xml:space="preserve"> </w:t>
      </w:r>
      <w:r w:rsidR="006E1C94">
        <w:rPr>
          <w:rFonts w:eastAsia="Times New Roman" w:cs="Times New Roman"/>
          <w:lang w:eastAsia="en-AU"/>
        </w:rPr>
        <w:t>for First Nations people</w:t>
      </w:r>
      <w:r w:rsidR="008970B4">
        <w:rPr>
          <w:rFonts w:eastAsia="Times New Roman" w:cs="Times New Roman"/>
          <w:lang w:eastAsia="en-AU"/>
        </w:rPr>
        <w:t xml:space="preserve">. Accurate reporting is essential to support continuous quality improvement in primary health care delivery. </w:t>
      </w:r>
    </w:p>
    <w:p w14:paraId="03B6E1BC" w14:textId="66FC55C8" w:rsidR="438F35AB" w:rsidRDefault="00B548DB" w:rsidP="002A4302">
      <w:pPr>
        <w:pStyle w:val="BodytextSH"/>
        <w:rPr>
          <w:rFonts w:eastAsia="Times New Roman" w:cs="Times New Roman"/>
          <w:lang w:eastAsia="en-AU"/>
        </w:rPr>
      </w:pPr>
      <w:r>
        <w:rPr>
          <w:rFonts w:eastAsia="Times New Roman" w:cs="Times New Roman"/>
          <w:lang w:eastAsia="en-AU"/>
        </w:rPr>
        <w:t>D</w:t>
      </w:r>
      <w:r w:rsidR="008970B4">
        <w:rPr>
          <w:rFonts w:eastAsia="Times New Roman" w:cs="Times New Roman"/>
          <w:lang w:eastAsia="en-AU"/>
        </w:rPr>
        <w:t>ifference</w:t>
      </w:r>
      <w:r w:rsidR="00D102AF">
        <w:rPr>
          <w:rFonts w:eastAsia="Times New Roman" w:cs="Times New Roman"/>
          <w:lang w:eastAsia="en-AU"/>
        </w:rPr>
        <w:t>s</w:t>
      </w:r>
      <w:r w:rsidR="008970B4">
        <w:rPr>
          <w:rFonts w:eastAsia="Times New Roman" w:cs="Times New Roman"/>
          <w:lang w:eastAsia="en-AU"/>
        </w:rPr>
        <w:t xml:space="preserve"> in how clinical information systems (CIS) capture and report data</w:t>
      </w:r>
      <w:r w:rsidR="007E6886">
        <w:rPr>
          <w:rFonts w:eastAsia="Times New Roman" w:cs="Times New Roman"/>
          <w:lang w:eastAsia="en-AU"/>
        </w:rPr>
        <w:t xml:space="preserve"> (whether due to system capability, reporting limitations</w:t>
      </w:r>
      <w:r w:rsidR="00052417">
        <w:rPr>
          <w:rFonts w:eastAsia="Times New Roman" w:cs="Times New Roman"/>
          <w:lang w:eastAsia="en-AU"/>
        </w:rPr>
        <w:t>,</w:t>
      </w:r>
      <w:r w:rsidR="007E6886">
        <w:rPr>
          <w:rFonts w:eastAsia="Times New Roman" w:cs="Times New Roman"/>
          <w:lang w:eastAsia="en-AU"/>
        </w:rPr>
        <w:t xml:space="preserve"> or both) can affect the accuracy </w:t>
      </w:r>
      <w:r w:rsidR="00945FF3">
        <w:rPr>
          <w:rFonts w:eastAsia="Times New Roman" w:cs="Times New Roman"/>
          <w:lang w:eastAsia="en-AU"/>
        </w:rPr>
        <w:t xml:space="preserve">and completeness </w:t>
      </w:r>
      <w:r w:rsidR="007E6886">
        <w:rPr>
          <w:rFonts w:eastAsia="Times New Roman" w:cs="Times New Roman"/>
          <w:lang w:eastAsia="en-AU"/>
        </w:rPr>
        <w:t>of these indicators. Understanding these system-specific</w:t>
      </w:r>
      <w:r w:rsidR="00F865A8">
        <w:rPr>
          <w:rFonts w:eastAsia="Times New Roman" w:cs="Times New Roman"/>
          <w:lang w:eastAsia="en-AU"/>
        </w:rPr>
        <w:t xml:space="preserve"> limitations </w:t>
      </w:r>
      <w:r w:rsidR="0007147F">
        <w:t xml:space="preserve">and how they translate into CIS reports, as well as knowing where to record data within the CIS, </w:t>
      </w:r>
      <w:r w:rsidR="00F865A8">
        <w:t>is critical for</w:t>
      </w:r>
      <w:r w:rsidR="00501157">
        <w:t xml:space="preserve"> </w:t>
      </w:r>
      <w:r w:rsidR="00231307">
        <w:t xml:space="preserve">ensuring your activities are comprehensively reported and </w:t>
      </w:r>
      <w:r w:rsidR="005C7352">
        <w:t xml:space="preserve">results </w:t>
      </w:r>
      <w:r w:rsidR="00501157">
        <w:t>interpret</w:t>
      </w:r>
      <w:r w:rsidR="005C7352">
        <w:t>ed</w:t>
      </w:r>
      <w:r w:rsidR="00501157">
        <w:t xml:space="preserve"> correctly</w:t>
      </w:r>
      <w:r w:rsidR="00443BAE">
        <w:t>.</w:t>
      </w:r>
    </w:p>
    <w:p w14:paraId="7F5346F6" w14:textId="28B8DDB8" w:rsidR="002B5DB3" w:rsidRDefault="00DD0267" w:rsidP="002A4302">
      <w:pPr>
        <w:pStyle w:val="BodytextSH"/>
      </w:pPr>
      <w:r>
        <w:t xml:space="preserve">This article outlines some key </w:t>
      </w:r>
      <w:r w:rsidR="00B811B5">
        <w:t xml:space="preserve">CIS </w:t>
      </w:r>
      <w:r>
        <w:t xml:space="preserve">limitations </w:t>
      </w:r>
      <w:r w:rsidR="00B811B5">
        <w:t>that may impact health service</w:t>
      </w:r>
      <w:r w:rsidR="000C5EBB">
        <w:t>’</w:t>
      </w:r>
      <w:r w:rsidR="00B811B5">
        <w:t>s</w:t>
      </w:r>
      <w:r w:rsidR="00CE2FAD">
        <w:t xml:space="preserve"> </w:t>
      </w:r>
      <w:r w:rsidR="007402AE">
        <w:t xml:space="preserve">data </w:t>
      </w:r>
      <w:r w:rsidR="00CE2FAD">
        <w:t xml:space="preserve">and some practical tips to </w:t>
      </w:r>
      <w:r w:rsidR="008B75F1">
        <w:t xml:space="preserve">help </w:t>
      </w:r>
      <w:r w:rsidR="00383B00">
        <w:t>manage data.</w:t>
      </w:r>
    </w:p>
    <w:p w14:paraId="7D8691E4" w14:textId="260CB409" w:rsidR="0056713B" w:rsidRPr="0056713B" w:rsidRDefault="0056713B" w:rsidP="00FF0764">
      <w:pPr>
        <w:pStyle w:val="Heading1SH"/>
      </w:pPr>
      <w:r w:rsidRPr="003F543B">
        <w:t>Communicar</w:t>
      </w:r>
      <w:r>
        <w:t xml:space="preserve">e </w:t>
      </w:r>
      <w:r w:rsidR="004F6B6D">
        <w:t>limitations and data quality</w:t>
      </w:r>
      <w:r w:rsidR="00197F25">
        <w:t xml:space="preserve"> tips</w:t>
      </w:r>
    </w:p>
    <w:p w14:paraId="220469F3" w14:textId="77777777" w:rsidR="001220A6" w:rsidRDefault="001220A6" w:rsidP="001220A6">
      <w:pPr>
        <w:pStyle w:val="SubheadingSH"/>
      </w:pPr>
      <w:r>
        <w:t>Qualifiers</w:t>
      </w:r>
    </w:p>
    <w:p w14:paraId="1E614C45" w14:textId="77777777" w:rsidR="001220A6" w:rsidRPr="00EF2017" w:rsidRDefault="001220A6" w:rsidP="001220A6">
      <w:pPr>
        <w:pStyle w:val="BodytextSH"/>
      </w:pPr>
      <w:r w:rsidRPr="00EF2017">
        <w:t xml:space="preserve">In Communicare, </w:t>
      </w:r>
      <w:r w:rsidRPr="00EF2017">
        <w:rPr>
          <w:rStyle w:val="Strong"/>
          <w:b w:val="0"/>
          <w:bCs w:val="0"/>
        </w:rPr>
        <w:t>qualifiers</w:t>
      </w:r>
      <w:r w:rsidRPr="00EF2017">
        <w:t xml:space="preserve"> are used to capture detailed clinical data, such as blood pressure readings, HbA1c levels, ACRs, and eGFRs. These qualifiers are linked to clinical items and are critical for accurate reporting. However, since some qualifiers can be locally defined, Communicare relies on </w:t>
      </w:r>
      <w:r w:rsidRPr="00EF2017">
        <w:rPr>
          <w:rStyle w:val="Strong"/>
          <w:b w:val="0"/>
          <w:bCs w:val="0"/>
        </w:rPr>
        <w:t>system codes</w:t>
      </w:r>
      <w:r w:rsidRPr="00EF2017">
        <w:t xml:space="preserve"> and </w:t>
      </w:r>
      <w:r w:rsidRPr="00EF2017">
        <w:rPr>
          <w:rStyle w:val="Strong"/>
          <w:b w:val="0"/>
          <w:bCs w:val="0"/>
        </w:rPr>
        <w:t>export codes</w:t>
      </w:r>
      <w:r w:rsidRPr="00EF2017">
        <w:t xml:space="preserve"> to formally identify these items for reporting purposes.</w:t>
      </w:r>
    </w:p>
    <w:p w14:paraId="15B7C75D" w14:textId="77777777" w:rsidR="001220A6" w:rsidRPr="00EF2017" w:rsidRDefault="001220A6" w:rsidP="001220A6">
      <w:pPr>
        <w:pStyle w:val="BodytextSH"/>
      </w:pPr>
      <w:r w:rsidRPr="00EF2017">
        <w:rPr>
          <w:rStyle w:val="Strong"/>
          <w:b w:val="0"/>
          <w:bCs w:val="0"/>
        </w:rPr>
        <w:t>System codes</w:t>
      </w:r>
      <w:r w:rsidRPr="00EF2017">
        <w:t xml:space="preserve"> are usually three-character codes used to identify clinical items within Communicare. They help the system recognise what kind of data is being recorded and are also used in reports. </w:t>
      </w:r>
    </w:p>
    <w:p w14:paraId="4667FB86" w14:textId="77777777" w:rsidR="001220A6" w:rsidRPr="00EF2017" w:rsidRDefault="001220A6" w:rsidP="001220A6">
      <w:pPr>
        <w:pStyle w:val="BodytextSH"/>
      </w:pPr>
      <w:r w:rsidRPr="00EF2017">
        <w:t xml:space="preserve">It’s important to note that </w:t>
      </w:r>
      <w:r w:rsidRPr="00EF2017">
        <w:rPr>
          <w:rStyle w:val="Strong"/>
          <w:b w:val="0"/>
          <w:bCs w:val="0"/>
        </w:rPr>
        <w:t>local items should not be assigned a system code unless they have been verified</w:t>
      </w:r>
      <w:r w:rsidRPr="00EF2017">
        <w:t xml:space="preserve"> as suitable. Incorrectly assigning system codes can impact the accuracy of reporting.</w:t>
      </w:r>
    </w:p>
    <w:p w14:paraId="1E291B20" w14:textId="77777777" w:rsidR="001220A6" w:rsidRPr="00EF2017" w:rsidRDefault="001220A6" w:rsidP="001220A6">
      <w:pPr>
        <w:pStyle w:val="BodytextSH"/>
      </w:pPr>
      <w:r w:rsidRPr="00EF2017">
        <w:rPr>
          <w:rStyle w:val="Strong"/>
          <w:b w:val="0"/>
          <w:bCs w:val="0"/>
        </w:rPr>
        <w:t>Export codes</w:t>
      </w:r>
      <w:r w:rsidRPr="00EF2017">
        <w:t xml:space="preserve"> are used solely for reporting and can be up to eight characters long.</w:t>
      </w:r>
    </w:p>
    <w:p w14:paraId="2A024D21" w14:textId="77777777" w:rsidR="001220A6" w:rsidRDefault="001220A6" w:rsidP="001220A6">
      <w:pPr>
        <w:pStyle w:val="BodytextSH"/>
      </w:pPr>
      <w:r w:rsidRPr="001E41BA">
        <w:rPr>
          <w:b/>
          <w:bCs/>
        </w:rPr>
        <w:lastRenderedPageBreak/>
        <w:t>TIP</w:t>
      </w:r>
      <w:r>
        <w:rPr>
          <w:b/>
          <w:bCs/>
        </w:rPr>
        <w:t>S</w:t>
      </w:r>
      <w:r w:rsidRPr="001E41BA">
        <w:rPr>
          <w:b/>
          <w:bCs/>
        </w:rPr>
        <w:t>:</w:t>
      </w:r>
      <w:r w:rsidRPr="00EF2017">
        <w:t xml:space="preserve"> </w:t>
      </w:r>
    </w:p>
    <w:p w14:paraId="3555AECD" w14:textId="54FD6F78" w:rsidR="001220A6" w:rsidRDefault="001220A6" w:rsidP="001220A6">
      <w:pPr>
        <w:pStyle w:val="BulletSH"/>
      </w:pPr>
      <w:r w:rsidRPr="00EF2017">
        <w:t xml:space="preserve">You can review which system or export codes are used for a particular indicator by checking the indicator’s details in the </w:t>
      </w:r>
      <w:r>
        <w:t xml:space="preserve">Communicare Knowledge Centre (refer to the User Guide article </w:t>
      </w:r>
      <w:r w:rsidR="00A270E3">
        <w:t>for</w:t>
      </w:r>
      <w:r>
        <w:t xml:space="preserve"> access </w:t>
      </w:r>
      <w:r w:rsidR="00A270E3">
        <w:t>instructions</w:t>
      </w:r>
      <w:r>
        <w:t>)</w:t>
      </w:r>
      <w:r w:rsidRPr="00EF2017">
        <w:t>.</w:t>
      </w:r>
    </w:p>
    <w:p w14:paraId="668773B0" w14:textId="007E4A7D" w:rsidR="00227CA1" w:rsidRDefault="001220A6" w:rsidP="001220A6">
      <w:pPr>
        <w:pStyle w:val="BulletSH"/>
      </w:pPr>
      <w:r w:rsidRPr="00EF2017">
        <w:t>Think of system and export codes like ICPC codes</w:t>
      </w:r>
      <w:r>
        <w:t>,</w:t>
      </w:r>
      <w:r w:rsidRPr="00EF2017">
        <w:t xml:space="preserve"> they help Communicare classify and report on clinical data accurately. You can view these by running: </w:t>
      </w:r>
      <w:r w:rsidRPr="001E41BA">
        <w:rPr>
          <w:rStyle w:val="Strong"/>
          <w:b w:val="0"/>
        </w:rPr>
        <w:t>Reports &gt; Reference Tables &gt; System Codes and Rule Codes</w:t>
      </w:r>
      <w:r w:rsidRPr="00EF2017">
        <w:t>.</w:t>
      </w:r>
    </w:p>
    <w:p w14:paraId="17742E6E" w14:textId="51AFC05F" w:rsidR="006653EA" w:rsidRDefault="006653EA" w:rsidP="006653EA">
      <w:pPr>
        <w:pStyle w:val="SubheadingSH"/>
      </w:pPr>
      <w:r>
        <w:t xml:space="preserve">Telephone </w:t>
      </w:r>
      <w:r w:rsidR="00DA70A5">
        <w:t>v</w:t>
      </w:r>
      <w:r>
        <w:t>isits</w:t>
      </w:r>
    </w:p>
    <w:p w14:paraId="7FFDE271" w14:textId="584A856B" w:rsidR="006B1D3C" w:rsidRDefault="006B1D3C" w:rsidP="007B6147">
      <w:pPr>
        <w:pStyle w:val="BodytextSH"/>
      </w:pPr>
      <w:r w:rsidRPr="006B1D3C">
        <w:t xml:space="preserve">Communicare doesn't distinguish between clinical and non-clinical encounters for telephone visits. As a result, all telephone encounters are counted as eligible visit types for assessing </w:t>
      </w:r>
      <w:r w:rsidR="005601D6">
        <w:t>R</w:t>
      </w:r>
      <w:r w:rsidRPr="006B1D3C">
        <w:t xml:space="preserve">egular </w:t>
      </w:r>
      <w:r w:rsidR="005601D6">
        <w:t>C</w:t>
      </w:r>
      <w:r w:rsidRPr="006B1D3C">
        <w:t xml:space="preserve">lient status in the </w:t>
      </w:r>
      <w:r w:rsidR="0058189C">
        <w:t xml:space="preserve">nKPI </w:t>
      </w:r>
      <w:r w:rsidRPr="006B1D3C">
        <w:t xml:space="preserve">report. This </w:t>
      </w:r>
      <w:r w:rsidR="003E07D6">
        <w:t>may</w:t>
      </w:r>
      <w:r w:rsidR="003E07D6" w:rsidRPr="006B1D3C">
        <w:t xml:space="preserve"> </w:t>
      </w:r>
      <w:r w:rsidRPr="006B1D3C">
        <w:t xml:space="preserve">lead to inflated </w:t>
      </w:r>
      <w:r w:rsidR="005601D6">
        <w:t>R</w:t>
      </w:r>
      <w:r w:rsidRPr="006B1D3C">
        <w:t xml:space="preserve">egular </w:t>
      </w:r>
      <w:r w:rsidR="005601D6">
        <w:t>C</w:t>
      </w:r>
      <w:r w:rsidRPr="006B1D3C">
        <w:t xml:space="preserve">lient figures, </w:t>
      </w:r>
      <w:r w:rsidR="009262A9">
        <w:t>particularly</w:t>
      </w:r>
      <w:r w:rsidR="009262A9" w:rsidRPr="006B1D3C">
        <w:t xml:space="preserve"> </w:t>
      </w:r>
      <w:r w:rsidRPr="006B1D3C">
        <w:t xml:space="preserve">if non-clinical staff are </w:t>
      </w:r>
      <w:r w:rsidR="009262A9">
        <w:t>recording</w:t>
      </w:r>
      <w:r w:rsidR="009262A9" w:rsidRPr="006B1D3C">
        <w:t xml:space="preserve"> </w:t>
      </w:r>
      <w:r w:rsidRPr="006B1D3C">
        <w:t xml:space="preserve">their </w:t>
      </w:r>
      <w:r w:rsidR="001153E8">
        <w:t>client interactions</w:t>
      </w:r>
      <w:r w:rsidRPr="006B1D3C">
        <w:t xml:space="preserve"> as telephone encounters.</w:t>
      </w:r>
    </w:p>
    <w:p w14:paraId="462EE875" w14:textId="573C7FE6" w:rsidR="0037407C" w:rsidRDefault="0037407C" w:rsidP="0037407C">
      <w:pPr>
        <w:pStyle w:val="BodytextSH"/>
      </w:pPr>
      <w:r>
        <w:t xml:space="preserve">The Specifications allow for, and accept, this limitation in scenarios where </w:t>
      </w:r>
      <w:r w:rsidR="0058189C">
        <w:t xml:space="preserve">a </w:t>
      </w:r>
      <w:r>
        <w:t xml:space="preserve">CIS </w:t>
      </w:r>
      <w:r w:rsidR="00BE52F7">
        <w:t>ca</w:t>
      </w:r>
      <w:r>
        <w:t xml:space="preserve">n’t distinguish between clinical and non-clinical telephone visits. </w:t>
      </w:r>
    </w:p>
    <w:p w14:paraId="1098A6C0" w14:textId="77777777" w:rsidR="0037407C" w:rsidRDefault="0037407C" w:rsidP="0037407C">
      <w:pPr>
        <w:pStyle w:val="BodytextSH"/>
      </w:pPr>
      <w:r w:rsidRPr="00ED4377">
        <w:rPr>
          <w:b/>
          <w:bCs/>
        </w:rPr>
        <w:t>NOTE:</w:t>
      </w:r>
      <w:r>
        <w:t xml:space="preserve"> Telehealth visits are categorised separately.</w:t>
      </w:r>
    </w:p>
    <w:p w14:paraId="6C4109DB" w14:textId="56E4DCED" w:rsidR="0093765C" w:rsidRDefault="0037407C" w:rsidP="00F73742">
      <w:pPr>
        <w:pStyle w:val="Bodytext-emhasisSH"/>
      </w:pPr>
      <w:r>
        <w:t>TIP</w:t>
      </w:r>
      <w:r w:rsidRPr="00BF3C78">
        <w:t>:</w:t>
      </w:r>
      <w:r w:rsidRPr="00FA0F55">
        <w:t xml:space="preserve"> </w:t>
      </w:r>
      <w:r w:rsidRPr="00ED4377">
        <w:rPr>
          <w:b w:val="0"/>
          <w:bCs w:val="0"/>
        </w:rPr>
        <w:t>Knowing this limitation helps you better understand wh</w:t>
      </w:r>
      <w:r>
        <w:rPr>
          <w:b w:val="0"/>
          <w:bCs w:val="0"/>
        </w:rPr>
        <w:t>ich data</w:t>
      </w:r>
      <w:r w:rsidRPr="00ED4377">
        <w:rPr>
          <w:b w:val="0"/>
          <w:bCs w:val="0"/>
        </w:rPr>
        <w:t xml:space="preserve"> </w:t>
      </w:r>
      <w:r>
        <w:rPr>
          <w:b w:val="0"/>
          <w:bCs w:val="0"/>
        </w:rPr>
        <w:t>are included in the</w:t>
      </w:r>
      <w:r w:rsidRPr="00ED4377">
        <w:rPr>
          <w:b w:val="0"/>
          <w:bCs w:val="0"/>
        </w:rPr>
        <w:t xml:space="preserve"> calculati</w:t>
      </w:r>
      <w:r>
        <w:rPr>
          <w:b w:val="0"/>
          <w:bCs w:val="0"/>
        </w:rPr>
        <w:t>on</w:t>
      </w:r>
      <w:r w:rsidRPr="00ED4377">
        <w:rPr>
          <w:b w:val="0"/>
          <w:bCs w:val="0"/>
        </w:rPr>
        <w:t xml:space="preserve"> </w:t>
      </w:r>
      <w:r>
        <w:rPr>
          <w:b w:val="0"/>
          <w:bCs w:val="0"/>
        </w:rPr>
        <w:t xml:space="preserve">of </w:t>
      </w:r>
      <w:r w:rsidR="001C2C36">
        <w:rPr>
          <w:b w:val="0"/>
          <w:bCs w:val="0"/>
        </w:rPr>
        <w:t>R</w:t>
      </w:r>
      <w:r w:rsidRPr="00ED4377">
        <w:rPr>
          <w:b w:val="0"/>
          <w:bCs w:val="0"/>
        </w:rPr>
        <w:t xml:space="preserve">egular </w:t>
      </w:r>
      <w:r w:rsidR="001C2C36">
        <w:rPr>
          <w:b w:val="0"/>
          <w:bCs w:val="0"/>
        </w:rPr>
        <w:t>C</w:t>
      </w:r>
      <w:r w:rsidRPr="00ED4377">
        <w:rPr>
          <w:b w:val="0"/>
          <w:bCs w:val="0"/>
        </w:rPr>
        <w:t>lient status</w:t>
      </w:r>
      <w:r>
        <w:rPr>
          <w:b w:val="0"/>
          <w:bCs w:val="0"/>
        </w:rPr>
        <w:t>.</w:t>
      </w:r>
    </w:p>
    <w:p w14:paraId="4EEE6CD9" w14:textId="08349D15" w:rsidR="00AD7FD9" w:rsidRDefault="00AD7FD9" w:rsidP="00AD7FD9">
      <w:pPr>
        <w:pStyle w:val="SubheadingSH"/>
      </w:pPr>
      <w:r w:rsidRPr="00DC5DCF">
        <w:t xml:space="preserve">Smoking </w:t>
      </w:r>
      <w:r w:rsidR="00FF0764">
        <w:t>s</w:t>
      </w:r>
      <w:r w:rsidRPr="00DC5DCF">
        <w:t>tatus</w:t>
      </w:r>
      <w:r>
        <w:t xml:space="preserve"> – PI09, PI10, PI11</w:t>
      </w:r>
    </w:p>
    <w:p w14:paraId="20842046" w14:textId="12AC7B23" w:rsidR="00D32010" w:rsidRDefault="003E7E03" w:rsidP="006B1D3C">
      <w:pPr>
        <w:pStyle w:val="BodytextSH"/>
      </w:pPr>
      <w:r>
        <w:t xml:space="preserve">In </w:t>
      </w:r>
      <w:r w:rsidRPr="00DC5DCF">
        <w:t xml:space="preserve">PI09, PI10 </w:t>
      </w:r>
      <w:r>
        <w:t>and</w:t>
      </w:r>
      <w:r w:rsidRPr="00DC5DCF">
        <w:t xml:space="preserve"> PI11</w:t>
      </w:r>
      <w:r>
        <w:t xml:space="preserve">, the </w:t>
      </w:r>
      <w:hyperlink r:id="rId11" w:history="1">
        <w:r w:rsidRPr="003E0422">
          <w:rPr>
            <w:rStyle w:val="Hyperlink"/>
          </w:rPr>
          <w:t>Specifications</w:t>
        </w:r>
      </w:hyperlink>
      <w:r>
        <w:t xml:space="preserve"> for nKPI and Online Service Reports (OSR) (the Specifications) state that </w:t>
      </w:r>
      <w:r w:rsidRPr="00DC5DCF">
        <w:t xml:space="preserve">smoking status </w:t>
      </w:r>
      <w:r>
        <w:t>should</w:t>
      </w:r>
      <w:r w:rsidRPr="00DC5DCF">
        <w:t xml:space="preserve"> be recorded within specific time periods or events. However, </w:t>
      </w:r>
      <w:r>
        <w:t xml:space="preserve">this requirement has not been strictly enforced in recent years due to system limitations in several CIS. </w:t>
      </w:r>
      <w:r w:rsidR="002D6CC1">
        <w:t>Some</w:t>
      </w:r>
      <w:r w:rsidR="00A05FB8">
        <w:t xml:space="preserve"> systems </w:t>
      </w:r>
      <w:r w:rsidR="006D0322">
        <w:t>have not historically</w:t>
      </w:r>
      <w:r w:rsidR="00A05FB8">
        <w:t xml:space="preserve"> </w:t>
      </w:r>
      <w:r w:rsidR="002D6CC1">
        <w:t>enabl</w:t>
      </w:r>
      <w:r w:rsidR="006D0322">
        <w:t>ed</w:t>
      </w:r>
      <w:r w:rsidR="00A05FB8">
        <w:t xml:space="preserve"> the smoking status assessment date to be updated unless the status of smoking was changed. Because of this, the Department of Health, Disability and Ageing accepted that CIS reports could count the most recently recorded smoking status, based on the assumption that clinicians would update it if it was known that the status had changed.</w:t>
      </w:r>
    </w:p>
    <w:p w14:paraId="47450CBA" w14:textId="5111F83D" w:rsidR="00EA1400" w:rsidRDefault="00EA1400" w:rsidP="006B1D3C">
      <w:pPr>
        <w:pStyle w:val="BodytextSH"/>
      </w:pPr>
      <w:r>
        <w:t xml:space="preserve">Communicare </w:t>
      </w:r>
      <w:r w:rsidR="006C062D">
        <w:t>currently</w:t>
      </w:r>
      <w:r w:rsidR="006C062D" w:rsidRPr="00DC5DCF">
        <w:t xml:space="preserve"> includes all </w:t>
      </w:r>
      <w:r w:rsidR="006C062D">
        <w:t>clients</w:t>
      </w:r>
      <w:r w:rsidR="006C062D" w:rsidRPr="00DC5DCF">
        <w:t xml:space="preserve"> with a recorded smoking status, no matter when it was recorded. </w:t>
      </w:r>
      <w:r w:rsidR="006C062D">
        <w:t>The last recorded smoking status is used.</w:t>
      </w:r>
      <w:r>
        <w:t xml:space="preserve"> </w:t>
      </w:r>
      <w:r w:rsidR="00A84C49">
        <w:t xml:space="preserve">While this approach aligns with historical reporting practices, it may lead to an overcount of clients </w:t>
      </w:r>
      <w:r w:rsidR="004F5A05" w:rsidRPr="004F5A05">
        <w:t>who appear to have had a smoking status assessment within the required timeframe</w:t>
      </w:r>
      <w:r w:rsidR="00A84C49">
        <w:t>.</w:t>
      </w:r>
    </w:p>
    <w:p w14:paraId="0EFEB94E" w14:textId="0CE8CE74" w:rsidR="0095181A" w:rsidRDefault="0095181A" w:rsidP="006B1D3C">
      <w:pPr>
        <w:pStyle w:val="BodytextSH"/>
      </w:pPr>
      <w:r>
        <w:rPr>
          <w:b/>
          <w:bCs/>
        </w:rPr>
        <w:t>TIP:</w:t>
      </w:r>
      <w:r>
        <w:t xml:space="preserve"> </w:t>
      </w:r>
      <w:r w:rsidR="003A753F" w:rsidRPr="002D6CC1">
        <w:t xml:space="preserve">Communicare does enable </w:t>
      </w:r>
      <w:r w:rsidR="006B6F4B">
        <w:t>a new</w:t>
      </w:r>
      <w:r w:rsidR="003A753F" w:rsidRPr="002D6CC1">
        <w:t xml:space="preserve"> smoking </w:t>
      </w:r>
      <w:r w:rsidR="006B6F4B">
        <w:t xml:space="preserve">status </w:t>
      </w:r>
      <w:r w:rsidR="003A753F" w:rsidRPr="002D6CC1">
        <w:t xml:space="preserve">assessment </w:t>
      </w:r>
      <w:r w:rsidR="006B6F4B">
        <w:t xml:space="preserve">to be </w:t>
      </w:r>
      <w:r w:rsidR="003734A3">
        <w:t>recorded</w:t>
      </w:r>
      <w:r w:rsidR="003A753F" w:rsidRPr="002D6CC1">
        <w:t xml:space="preserve"> without changing the </w:t>
      </w:r>
      <w:r w:rsidR="003734A3">
        <w:t xml:space="preserve">existing </w:t>
      </w:r>
      <w:r w:rsidR="003A753F" w:rsidRPr="002D6CC1">
        <w:t xml:space="preserve">status. Clinical staff are encouraged to </w:t>
      </w:r>
      <w:r w:rsidR="00E06CF1">
        <w:t>do this</w:t>
      </w:r>
      <w:r w:rsidR="003A753F" w:rsidRPr="002D6CC1">
        <w:t xml:space="preserve"> to confirm data are current in case indicator requirements for smoking status change. Th</w:t>
      </w:r>
      <w:r w:rsidR="0092318A">
        <w:t>ese</w:t>
      </w:r>
      <w:r w:rsidR="003A753F" w:rsidRPr="002D6CC1">
        <w:t xml:space="preserve"> screenshot</w:t>
      </w:r>
      <w:r w:rsidR="0092318A">
        <w:t>s</w:t>
      </w:r>
      <w:r w:rsidR="003A753F" w:rsidRPr="002D6CC1">
        <w:t xml:space="preserve"> show</w:t>
      </w:r>
      <w:r w:rsidR="0092318A">
        <w:t xml:space="preserve"> </w:t>
      </w:r>
      <w:r w:rsidR="003A753F" w:rsidRPr="002D6CC1">
        <w:t xml:space="preserve">where to </w:t>
      </w:r>
      <w:r w:rsidR="00406814">
        <w:t>record</w:t>
      </w:r>
      <w:r w:rsidR="003A753F" w:rsidRPr="002D6CC1">
        <w:t xml:space="preserve"> </w:t>
      </w:r>
      <w:r w:rsidR="00406814">
        <w:t>a new</w:t>
      </w:r>
      <w:r w:rsidR="003A753F" w:rsidRPr="002D6CC1">
        <w:t xml:space="preserve"> assessment in Communicare</w:t>
      </w:r>
      <w:r w:rsidR="00406814">
        <w:t xml:space="preserve"> and where</w:t>
      </w:r>
      <w:r w:rsidR="00FB131A">
        <w:t xml:space="preserve"> </w:t>
      </w:r>
      <w:r w:rsidR="00AA5EEA">
        <w:t xml:space="preserve">each assessment can be </w:t>
      </w:r>
      <w:r w:rsidR="00F440D7">
        <w:t>viewed</w:t>
      </w:r>
      <w:r w:rsidR="003A753F" w:rsidRPr="002D6CC1">
        <w:t>.</w:t>
      </w:r>
    </w:p>
    <w:p w14:paraId="35DFB271" w14:textId="38B48728" w:rsidR="004A1C50" w:rsidRDefault="004A1C50" w:rsidP="006B1D3C">
      <w:pPr>
        <w:pStyle w:val="BodytextSH"/>
      </w:pPr>
      <w:r w:rsidRPr="004A1C50">
        <w:rPr>
          <w:noProof/>
        </w:rPr>
        <w:drawing>
          <wp:inline distT="0" distB="0" distL="0" distR="0" wp14:anchorId="00B1DE21" wp14:editId="177B0C93">
            <wp:extent cx="5727700" cy="1781175"/>
            <wp:effectExtent l="25400" t="25400" r="88900" b="85725"/>
            <wp:docPr id="70105600" name="Picture 1" descr="A screenshot of smoking status assessment in Communi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5600" name="Picture 1" descr="A screenshot of smoking status assessment in Communicare."/>
                    <pic:cNvPicPr/>
                  </pic:nvPicPr>
                  <pic:blipFill>
                    <a:blip r:embed="rId12"/>
                    <a:stretch>
                      <a:fillRect/>
                    </a:stretch>
                  </pic:blipFill>
                  <pic:spPr>
                    <a:xfrm>
                      <a:off x="0" y="0"/>
                      <a:ext cx="5727700" cy="1781175"/>
                    </a:xfrm>
                    <a:prstGeom prst="rect">
                      <a:avLst/>
                    </a:prstGeom>
                    <a:effectLst>
                      <a:outerShdw blurRad="50800" dist="38100" dir="2700000" algn="tl" rotWithShape="0">
                        <a:prstClr val="black">
                          <a:alpha val="40000"/>
                        </a:prstClr>
                      </a:outerShdw>
                    </a:effectLst>
                  </pic:spPr>
                </pic:pic>
              </a:graphicData>
            </a:graphic>
          </wp:inline>
        </w:drawing>
      </w:r>
    </w:p>
    <w:p w14:paraId="359038B2" w14:textId="77777777" w:rsidR="0092318A" w:rsidRDefault="0092318A" w:rsidP="006B1D3C">
      <w:pPr>
        <w:pStyle w:val="BodytextSH"/>
      </w:pPr>
      <w:r w:rsidRPr="00752B08">
        <w:rPr>
          <w:noProof/>
        </w:rPr>
        <w:lastRenderedPageBreak/>
        <w:drawing>
          <wp:inline distT="0" distB="0" distL="0" distR="0" wp14:anchorId="0DABC0C4" wp14:editId="3EB6D564">
            <wp:extent cx="5727700" cy="2878455"/>
            <wp:effectExtent l="38100" t="38100" r="88900" b="93345"/>
            <wp:docPr id="93316622" name="Picture 1" descr="A screenshot of smoking status assessment in Communi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6622" name="Picture 1" descr="A screenshot of smoking status assessment in Communicare."/>
                    <pic:cNvPicPr/>
                  </pic:nvPicPr>
                  <pic:blipFill>
                    <a:blip r:embed="rId13"/>
                    <a:stretch>
                      <a:fillRect/>
                    </a:stretch>
                  </pic:blipFill>
                  <pic:spPr>
                    <a:xfrm>
                      <a:off x="0" y="0"/>
                      <a:ext cx="5727700" cy="2878455"/>
                    </a:xfrm>
                    <a:prstGeom prst="rect">
                      <a:avLst/>
                    </a:prstGeom>
                    <a:ln>
                      <a:solidFill>
                        <a:schemeClr val="bg1">
                          <a:lumMod val="65000"/>
                        </a:schemeClr>
                      </a:solidFill>
                    </a:ln>
                    <a:effectLst>
                      <a:outerShdw blurRad="50800" dist="38100" dir="2700000" algn="tl" rotWithShape="0">
                        <a:prstClr val="black">
                          <a:alpha val="40000"/>
                        </a:prstClr>
                      </a:outerShdw>
                    </a:effectLst>
                  </pic:spPr>
                </pic:pic>
              </a:graphicData>
            </a:graphic>
          </wp:inline>
        </w:drawing>
      </w:r>
    </w:p>
    <w:p w14:paraId="490150B9" w14:textId="026721EA" w:rsidR="002628A1" w:rsidRDefault="000A2D9A" w:rsidP="006B1D3C">
      <w:pPr>
        <w:pStyle w:val="BodytextSH"/>
      </w:pPr>
      <w:r>
        <w:t>Communicare</w:t>
      </w:r>
      <w:r w:rsidR="008B6861">
        <w:t xml:space="preserve"> settings enable </w:t>
      </w:r>
      <w:r w:rsidR="00DD01FF">
        <w:t xml:space="preserve">‘flagging’ of qualifier currency. Setting the </w:t>
      </w:r>
      <w:r w:rsidR="0092318A">
        <w:t xml:space="preserve">currency of the </w:t>
      </w:r>
      <w:r w:rsidR="00DD01FF">
        <w:t xml:space="preserve">smoking status </w:t>
      </w:r>
      <w:r w:rsidR="0092318A">
        <w:t>qualifier</w:t>
      </w:r>
      <w:r w:rsidR="00DD01FF">
        <w:t xml:space="preserve"> to </w:t>
      </w:r>
      <w:r w:rsidR="007163EA">
        <w:t>two</w:t>
      </w:r>
      <w:r w:rsidR="00DD01FF">
        <w:t xml:space="preserve"> years will </w:t>
      </w:r>
      <w:r w:rsidR="00703EC5">
        <w:t xml:space="preserve">prompt </w:t>
      </w:r>
      <w:r w:rsidR="007163EA">
        <w:t>the smoking status</w:t>
      </w:r>
      <w:r w:rsidR="001A07F3">
        <w:t xml:space="preserve"> date to appear in red text when </w:t>
      </w:r>
      <w:r w:rsidR="007163EA">
        <w:t xml:space="preserve">the currency falls outside the </w:t>
      </w:r>
      <w:r w:rsidR="0092318A">
        <w:t>two-year</w:t>
      </w:r>
      <w:r w:rsidR="007163EA">
        <w:t xml:space="preserve"> window (as illustrated in the </w:t>
      </w:r>
      <w:r w:rsidR="0092318A">
        <w:t xml:space="preserve">first </w:t>
      </w:r>
      <w:r w:rsidR="007163EA">
        <w:t>image above).</w:t>
      </w:r>
    </w:p>
    <w:p w14:paraId="12C1A4B5" w14:textId="498CC5FB" w:rsidR="004A1C50" w:rsidRPr="0095181A" w:rsidRDefault="007163EA" w:rsidP="006B1D3C">
      <w:pPr>
        <w:pStyle w:val="BodytextSH"/>
      </w:pPr>
      <w:r w:rsidRPr="007163EA">
        <w:rPr>
          <w:b/>
          <w:bCs/>
        </w:rPr>
        <w:t>TIP:</w:t>
      </w:r>
      <w:r>
        <w:t xml:space="preserve"> Set the smoking status qualifier currency to two years to prompt </w:t>
      </w:r>
      <w:r w:rsidR="00DA38A7">
        <w:t>addition of a new assessment</w:t>
      </w:r>
      <w:r>
        <w:t>.</w:t>
      </w:r>
    </w:p>
    <w:p w14:paraId="1B126813" w14:textId="6C31D59C" w:rsidR="002E6556" w:rsidRPr="00DC5DCF" w:rsidRDefault="002E6556" w:rsidP="002E6556">
      <w:pPr>
        <w:pStyle w:val="SubheadingSH"/>
      </w:pPr>
      <w:r>
        <w:t xml:space="preserve">Baby </w:t>
      </w:r>
      <w:r w:rsidR="00DA70A5">
        <w:t>b</w:t>
      </w:r>
      <w:r>
        <w:t>irthweight – PI13</w:t>
      </w:r>
    </w:p>
    <w:p w14:paraId="33128CE9" w14:textId="400170B9" w:rsidR="00DF3EDD" w:rsidRPr="002D6CC1" w:rsidRDefault="00134871" w:rsidP="002D6CC1">
      <w:pPr>
        <w:pStyle w:val="BodytextSH"/>
        <w:rPr>
          <w:rFonts w:cs="Arial"/>
          <w:bCs/>
          <w:color w:val="000000" w:themeColor="text1"/>
          <w:kern w:val="0"/>
          <w14:ligatures w14:val="none"/>
        </w:rPr>
      </w:pPr>
      <w:r>
        <w:rPr>
          <w:rFonts w:cs="Arial"/>
          <w:bCs/>
          <w:color w:val="000000" w:themeColor="text1"/>
          <w:kern w:val="0"/>
          <w14:ligatures w14:val="none"/>
        </w:rPr>
        <w:t>Communicare uses an internal algorithm to calculate gestational age (GA) when it is not</w:t>
      </w:r>
      <w:r w:rsidR="00DF3EDD" w:rsidRPr="002D6CC1">
        <w:rPr>
          <w:rFonts w:cs="Arial"/>
          <w:bCs/>
          <w:color w:val="000000" w:themeColor="text1"/>
          <w:kern w:val="0"/>
          <w14:ligatures w14:val="none"/>
        </w:rPr>
        <w:t xml:space="preserve"> recorded at the </w:t>
      </w:r>
      <w:r w:rsidR="00B26EC8" w:rsidRPr="002D6CC1">
        <w:rPr>
          <w:rFonts w:cs="Arial"/>
          <w:bCs/>
          <w:color w:val="000000" w:themeColor="text1"/>
          <w:kern w:val="0"/>
          <w14:ligatures w14:val="none"/>
        </w:rPr>
        <w:t xml:space="preserve">first </w:t>
      </w:r>
      <w:r w:rsidR="00DF3EDD" w:rsidRPr="002D6CC1">
        <w:rPr>
          <w:rFonts w:cs="Arial"/>
          <w:bCs/>
          <w:color w:val="000000" w:themeColor="text1"/>
          <w:kern w:val="0"/>
          <w14:ligatures w14:val="none"/>
        </w:rPr>
        <w:t>antenatal visit</w:t>
      </w:r>
      <w:r w:rsidR="003940B9">
        <w:rPr>
          <w:rFonts w:cs="Arial"/>
          <w:bCs/>
          <w:color w:val="000000" w:themeColor="text1"/>
          <w:kern w:val="0"/>
          <w14:ligatures w14:val="none"/>
        </w:rPr>
        <w:t>.</w:t>
      </w:r>
      <w:r w:rsidR="00B67BC3">
        <w:rPr>
          <w:rFonts w:cs="Arial"/>
          <w:bCs/>
          <w:color w:val="000000" w:themeColor="text1"/>
          <w:kern w:val="0"/>
          <w14:ligatures w14:val="none"/>
        </w:rPr>
        <w:t xml:space="preserve"> This ensures the system can still include clients in PI13 reporting even if some data points are missing.</w:t>
      </w:r>
      <w:r w:rsidR="00DF3EDD" w:rsidRPr="002D6CC1">
        <w:rPr>
          <w:rFonts w:cs="Arial"/>
          <w:bCs/>
          <w:color w:val="000000" w:themeColor="text1"/>
          <w:kern w:val="0"/>
          <w14:ligatures w14:val="none"/>
        </w:rPr>
        <w:t xml:space="preserve"> </w:t>
      </w:r>
      <w:r w:rsidR="00B24D96">
        <w:rPr>
          <w:rFonts w:cs="Arial"/>
          <w:bCs/>
          <w:color w:val="000000" w:themeColor="text1"/>
          <w:kern w:val="0"/>
          <w14:ligatures w14:val="none"/>
        </w:rPr>
        <w:t>The algorithm works</w:t>
      </w:r>
      <w:r w:rsidR="004B694D">
        <w:rPr>
          <w:rFonts w:cs="Arial"/>
          <w:bCs/>
          <w:color w:val="000000" w:themeColor="text1"/>
          <w:kern w:val="0"/>
          <w14:ligatures w14:val="none"/>
        </w:rPr>
        <w:t xml:space="preserve"> in the following order:</w:t>
      </w:r>
    </w:p>
    <w:p w14:paraId="69B48BE0" w14:textId="3F34186D" w:rsidR="00DF3EDD" w:rsidRPr="00DA70A5" w:rsidRDefault="00CC499A" w:rsidP="00DA70A5">
      <w:pPr>
        <w:pStyle w:val="Numberedlist-SH"/>
      </w:pPr>
      <w:r w:rsidRPr="00DA70A5">
        <w:t>F</w:t>
      </w:r>
      <w:r w:rsidR="00DF3EDD" w:rsidRPr="00DA70A5">
        <w:t>irst</w:t>
      </w:r>
      <w:r w:rsidRPr="00DA70A5">
        <w:t>, it</w:t>
      </w:r>
      <w:r w:rsidR="00DF3EDD" w:rsidRPr="00DA70A5">
        <w:t xml:space="preserve"> checks the earliest antenatal visit to see if </w:t>
      </w:r>
      <w:r w:rsidR="004B694D" w:rsidRPr="00DA70A5">
        <w:t>GA</w:t>
      </w:r>
      <w:r w:rsidR="00DF3EDD" w:rsidRPr="00DA70A5">
        <w:t xml:space="preserve"> is explicitly recorded.</w:t>
      </w:r>
    </w:p>
    <w:p w14:paraId="4E670A48" w14:textId="066D472E" w:rsidR="00DF3EDD" w:rsidRPr="00DA70A5" w:rsidRDefault="00DF3EDD" w:rsidP="00DA70A5">
      <w:pPr>
        <w:pStyle w:val="Numberedlist-SH"/>
      </w:pPr>
      <w:r w:rsidRPr="00DA70A5">
        <w:t>If no gestation is recorded, Communicare us</w:t>
      </w:r>
      <w:r w:rsidR="00DC6DC2" w:rsidRPr="00DA70A5">
        <w:t>es</w:t>
      </w:r>
      <w:r w:rsidRPr="00DA70A5">
        <w:t xml:space="preserve"> the date of delivery and gestation</w:t>
      </w:r>
      <w:r w:rsidR="009A4BF1" w:rsidRPr="00DA70A5">
        <w:t xml:space="preserve"> at birth</w:t>
      </w:r>
      <w:r w:rsidR="00865EAB" w:rsidRPr="00DA70A5">
        <w:t xml:space="preserve"> and calculates backwards to the antenatal visit date</w:t>
      </w:r>
      <w:r w:rsidRPr="00DA70A5">
        <w:t>.</w:t>
      </w:r>
    </w:p>
    <w:p w14:paraId="62025A4D" w14:textId="347AF205" w:rsidR="00DF3EDD" w:rsidRPr="00DA70A5" w:rsidRDefault="00DF3EDD" w:rsidP="00DA70A5">
      <w:pPr>
        <w:pStyle w:val="Numberedlist-SH"/>
      </w:pPr>
      <w:r w:rsidRPr="00DA70A5">
        <w:t xml:space="preserve">If there is no gestation value in either the first antenatal visit or the pregnancy ending, Communicare uses the LMP </w:t>
      </w:r>
      <w:r w:rsidR="001A286D" w:rsidRPr="00DA70A5">
        <w:t>(last menstrual period)</w:t>
      </w:r>
      <w:r w:rsidRPr="00DA70A5">
        <w:t xml:space="preserve"> date </w:t>
      </w:r>
      <w:r w:rsidR="00B71261" w:rsidRPr="00DA70A5">
        <w:t xml:space="preserve">and </w:t>
      </w:r>
      <w:r w:rsidRPr="00DA70A5">
        <w:t>calculate</w:t>
      </w:r>
      <w:r w:rsidR="00B71261" w:rsidRPr="00DA70A5">
        <w:t>s</w:t>
      </w:r>
      <w:r w:rsidRPr="00DA70A5">
        <w:t xml:space="preserve"> forward to </w:t>
      </w:r>
      <w:r w:rsidR="006D5E9E" w:rsidRPr="00DA70A5">
        <w:t>estimate the gestation at the time of</w:t>
      </w:r>
      <w:r w:rsidRPr="00DA70A5">
        <w:t xml:space="preserve"> the antenatal visit.</w:t>
      </w:r>
    </w:p>
    <w:p w14:paraId="0AD678A9" w14:textId="2FD4C75C" w:rsidR="00ED2D3C" w:rsidRPr="00ED2D3C" w:rsidRDefault="006D5E9E" w:rsidP="00A16ECD">
      <w:pPr>
        <w:pStyle w:val="BodytextSH"/>
      </w:pPr>
      <w:r>
        <w:t>This means t</w:t>
      </w:r>
      <w:r w:rsidR="00511969">
        <w:t>he numbers for each data category might not always match expect</w:t>
      </w:r>
      <w:r w:rsidR="00421FAB">
        <w:t>ations</w:t>
      </w:r>
      <w:r w:rsidR="00511969">
        <w:t>,</w:t>
      </w:r>
      <w:r w:rsidR="00421FAB">
        <w:t xml:space="preserve"> particularly</w:t>
      </w:r>
      <w:r w:rsidR="001B22A2">
        <w:t xml:space="preserve"> if GA is not consistently recorded at the first antenatal visit.</w:t>
      </w:r>
      <w:r w:rsidR="00511969">
        <w:t xml:space="preserve"> </w:t>
      </w:r>
      <w:r w:rsidR="00C43F81">
        <w:t>Records without a directly entered</w:t>
      </w:r>
      <w:r w:rsidR="00BC5674">
        <w:t xml:space="preserve"> GA value may still</w:t>
      </w:r>
      <w:r w:rsidR="008976A1">
        <w:t xml:space="preserve"> be included in the report through this</w:t>
      </w:r>
      <w:r w:rsidR="00C222E0">
        <w:t xml:space="preserve"> calculated method. </w:t>
      </w:r>
      <w:r w:rsidR="007B6295">
        <w:t>It’s important to note that</w:t>
      </w:r>
      <w:r w:rsidR="00207B9A">
        <w:t xml:space="preserve"> clinical records </w:t>
      </w:r>
      <w:r w:rsidR="008C6547">
        <w:t>containing</w:t>
      </w:r>
      <w:r w:rsidR="00B070C2">
        <w:t xml:space="preserve"> </w:t>
      </w:r>
      <w:r w:rsidR="002001BB">
        <w:t xml:space="preserve">only </w:t>
      </w:r>
      <w:r w:rsidR="00B070C2">
        <w:t>an antenatal visit and pregnancy ending</w:t>
      </w:r>
      <w:r w:rsidR="002001BB">
        <w:t>, with no gestation recorded</w:t>
      </w:r>
      <w:r w:rsidR="00C07D23">
        <w:t xml:space="preserve"> </w:t>
      </w:r>
      <w:r w:rsidR="00462FC3">
        <w:t>will be included</w:t>
      </w:r>
      <w:r w:rsidR="00C07D23">
        <w:t xml:space="preserve"> in the ‘No GA recorded at</w:t>
      </w:r>
      <w:r w:rsidR="00947D08">
        <w:t xml:space="preserve"> first antenatal visit</w:t>
      </w:r>
      <w:r w:rsidR="00426F4F">
        <w:t>’</w:t>
      </w:r>
      <w:r w:rsidR="00947D08">
        <w:t xml:space="preserve"> category.</w:t>
      </w:r>
    </w:p>
    <w:p w14:paraId="60DF9BCC" w14:textId="77C6C199" w:rsidR="00ED2D3C" w:rsidRDefault="00633968" w:rsidP="00BD5ADC">
      <w:pPr>
        <w:pStyle w:val="BodytextSH"/>
      </w:pPr>
      <w:r>
        <w:t>In addition,</w:t>
      </w:r>
      <w:r w:rsidR="00326085">
        <w:t xml:space="preserve"> while the Specifications include minimum requirements for birthweight (400g or more) or GA (20 weeks or more)</w:t>
      </w:r>
      <w:r w:rsidR="00EE76C3">
        <w:t>, Communicare will still include records where both fields are blank. This can result in an overcount in PI13, as some clients may appear to meet the inclusion criteria when their eligibility cannot be confirmed</w:t>
      </w:r>
      <w:r w:rsidR="00736987">
        <w:t>.</w:t>
      </w:r>
    </w:p>
    <w:p w14:paraId="3AA42242" w14:textId="12326997" w:rsidR="00A62C25" w:rsidRDefault="00A62C25" w:rsidP="00BD5ADC">
      <w:pPr>
        <w:pStyle w:val="BodytextSH"/>
      </w:pPr>
      <w:r>
        <w:rPr>
          <w:b/>
          <w:bCs/>
        </w:rPr>
        <w:t>TIP:</w:t>
      </w:r>
      <w:r>
        <w:t xml:space="preserve"> To improve</w:t>
      </w:r>
      <w:r w:rsidR="00240C3E">
        <w:t xml:space="preserve"> data accuracy, aim to record GA at the first antenatal visit and ensure </w:t>
      </w:r>
      <w:r w:rsidR="00240A0C">
        <w:t>either birthweight</w:t>
      </w:r>
      <w:r w:rsidR="00A34049">
        <w:t xml:space="preserve"> or gestational age is entered for all births.</w:t>
      </w:r>
    </w:p>
    <w:p w14:paraId="60443B6D" w14:textId="77777777" w:rsidR="00C80B55" w:rsidRDefault="00C80B55" w:rsidP="0099231F">
      <w:pPr>
        <w:pStyle w:val="SubheadingSH"/>
      </w:pPr>
    </w:p>
    <w:p w14:paraId="35B93154" w14:textId="0D35B3ED" w:rsidR="0099231F" w:rsidRPr="003D5A33" w:rsidRDefault="0099231F" w:rsidP="0099231F">
      <w:pPr>
        <w:pStyle w:val="SubheadingSH"/>
      </w:pPr>
      <w:r w:rsidRPr="003D5A33">
        <w:lastRenderedPageBreak/>
        <w:t>Cervical Screening (HPV) – PI22</w:t>
      </w:r>
    </w:p>
    <w:p w14:paraId="079D283F" w14:textId="659932D9" w:rsidR="0099231F" w:rsidRDefault="0099231F" w:rsidP="0099231F">
      <w:pPr>
        <w:pStyle w:val="BodytextSH"/>
      </w:pPr>
      <w:r>
        <w:t xml:space="preserve">Communicare comprehensively counts cervical screening through </w:t>
      </w:r>
      <w:r w:rsidR="0092318A">
        <w:t xml:space="preserve">a combination of </w:t>
      </w:r>
      <w:r w:rsidR="006B5ACC">
        <w:t xml:space="preserve">electronically received pathology, </w:t>
      </w:r>
      <w:r w:rsidR="001356D9">
        <w:t>clinical items and qualifiers.</w:t>
      </w:r>
    </w:p>
    <w:p w14:paraId="25D98D2D" w14:textId="5BB740A2" w:rsidR="001356D9" w:rsidRDefault="001356D9" w:rsidP="001356D9">
      <w:pPr>
        <w:pStyle w:val="Bodytext-emhasisSH"/>
        <w:rPr>
          <w:b w:val="0"/>
          <w:bCs w:val="0"/>
        </w:rPr>
      </w:pPr>
      <w:r>
        <w:rPr>
          <w:b w:val="0"/>
          <w:bCs w:val="0"/>
        </w:rPr>
        <w:t xml:space="preserve">Screening that is self-collected, and results performed elsewhere, may need to be manually </w:t>
      </w:r>
      <w:r w:rsidR="00431FAC">
        <w:rPr>
          <w:b w:val="0"/>
          <w:bCs w:val="0"/>
        </w:rPr>
        <w:t>recorded</w:t>
      </w:r>
      <w:r w:rsidR="0057510C">
        <w:rPr>
          <w:b w:val="0"/>
          <w:bCs w:val="0"/>
        </w:rPr>
        <w:t xml:space="preserve"> as a relevant clinical item</w:t>
      </w:r>
      <w:r>
        <w:rPr>
          <w:b w:val="0"/>
          <w:bCs w:val="0"/>
        </w:rPr>
        <w:t xml:space="preserve">. Results performed elsewhere may be received </w:t>
      </w:r>
      <w:r w:rsidR="004E5281">
        <w:rPr>
          <w:b w:val="0"/>
          <w:bCs w:val="0"/>
        </w:rPr>
        <w:t xml:space="preserve">electronically </w:t>
      </w:r>
      <w:r>
        <w:rPr>
          <w:b w:val="0"/>
          <w:bCs w:val="0"/>
        </w:rPr>
        <w:t xml:space="preserve">as </w:t>
      </w:r>
      <w:r w:rsidR="004E5281">
        <w:rPr>
          <w:b w:val="0"/>
          <w:bCs w:val="0"/>
        </w:rPr>
        <w:t>results</w:t>
      </w:r>
      <w:r>
        <w:rPr>
          <w:b w:val="0"/>
          <w:bCs w:val="0"/>
        </w:rPr>
        <w:t xml:space="preserve"> copied to the health service</w:t>
      </w:r>
      <w:r w:rsidR="009133C1">
        <w:rPr>
          <w:b w:val="0"/>
          <w:bCs w:val="0"/>
        </w:rPr>
        <w:t>; in these scenarios</w:t>
      </w:r>
      <w:r w:rsidR="00431FAC">
        <w:rPr>
          <w:b w:val="0"/>
          <w:bCs w:val="0"/>
        </w:rPr>
        <w:t xml:space="preserve"> </w:t>
      </w:r>
      <w:r w:rsidR="00E528B9">
        <w:rPr>
          <w:b w:val="0"/>
          <w:bCs w:val="0"/>
        </w:rPr>
        <w:t>they are managed as electronically received pathology</w:t>
      </w:r>
      <w:r>
        <w:rPr>
          <w:b w:val="0"/>
          <w:bCs w:val="0"/>
        </w:rPr>
        <w:t xml:space="preserve">. When confirmation of screening elsewhere is received in correspondence </w:t>
      </w:r>
      <w:r w:rsidR="0092318A">
        <w:rPr>
          <w:b w:val="0"/>
          <w:bCs w:val="0"/>
        </w:rPr>
        <w:t xml:space="preserve">and scanned into the record e.g. a </w:t>
      </w:r>
      <w:r>
        <w:rPr>
          <w:b w:val="0"/>
          <w:bCs w:val="0"/>
        </w:rPr>
        <w:t>referral letter</w:t>
      </w:r>
      <w:r w:rsidR="0092318A">
        <w:rPr>
          <w:b w:val="0"/>
          <w:bCs w:val="0"/>
        </w:rPr>
        <w:t xml:space="preserve"> stored as a document</w:t>
      </w:r>
      <w:r>
        <w:rPr>
          <w:b w:val="0"/>
          <w:bCs w:val="0"/>
        </w:rPr>
        <w:t>, it will need to be manually entered for it to be counted in PI22.</w:t>
      </w:r>
      <w:r w:rsidR="00F93A0D" w:rsidDel="00F93A0D">
        <w:rPr>
          <w:rStyle w:val="CommentReference"/>
          <w:rFonts w:asciiTheme="minorHAnsi" w:hAnsiTheme="minorHAnsi" w:cstheme="minorBidi"/>
          <w:b w:val="0"/>
          <w:bCs w:val="0"/>
        </w:rPr>
        <w:t xml:space="preserve"> </w:t>
      </w:r>
    </w:p>
    <w:p w14:paraId="412A2CD5" w14:textId="12FD829A" w:rsidR="0099231F" w:rsidRPr="007547FD" w:rsidRDefault="001356D9" w:rsidP="007547FD">
      <w:pPr>
        <w:pStyle w:val="Bodytext-emhasisSH"/>
        <w:rPr>
          <w:b w:val="0"/>
          <w:bCs w:val="0"/>
        </w:rPr>
      </w:pPr>
      <w:r w:rsidRPr="000E295A">
        <w:t>NOTE:</w:t>
      </w:r>
      <w:r>
        <w:rPr>
          <w:b w:val="0"/>
          <w:bCs w:val="0"/>
        </w:rPr>
        <w:t xml:space="preserve"> The National Cancer Screening Register (NCSR) is integrated with </w:t>
      </w:r>
      <w:r w:rsidR="001777FD">
        <w:rPr>
          <w:b w:val="0"/>
          <w:bCs w:val="0"/>
        </w:rPr>
        <w:t>Communicare</w:t>
      </w:r>
      <w:r>
        <w:rPr>
          <w:b w:val="0"/>
          <w:bCs w:val="0"/>
        </w:rPr>
        <w:t xml:space="preserve">. This allows you to view a client’s latest NCSR data. However, there is no facility yet to automatically write this data back to the client’s record. Cervical screening history in the NCSR may be relevant to PI22. If you want that information to be counted towards PI22, </w:t>
      </w:r>
      <w:r w:rsidR="00DE51E7">
        <w:rPr>
          <w:b w:val="0"/>
          <w:bCs w:val="0"/>
        </w:rPr>
        <w:t xml:space="preserve">the </w:t>
      </w:r>
      <w:r w:rsidR="00182531">
        <w:rPr>
          <w:b w:val="0"/>
          <w:bCs w:val="0"/>
        </w:rPr>
        <w:t xml:space="preserve">screening result needs to be manually added via a </w:t>
      </w:r>
      <w:r w:rsidR="00DE51E7">
        <w:rPr>
          <w:b w:val="0"/>
          <w:bCs w:val="0"/>
        </w:rPr>
        <w:t>relevant clinical item</w:t>
      </w:r>
      <w:r>
        <w:rPr>
          <w:b w:val="0"/>
          <w:bCs w:val="0"/>
        </w:rPr>
        <w:t>.</w:t>
      </w:r>
    </w:p>
    <w:p w14:paraId="681AE8E2" w14:textId="1F4C461B" w:rsidR="00A51B0C" w:rsidRPr="002C60E3" w:rsidRDefault="002C60E3" w:rsidP="003D5A33">
      <w:pPr>
        <w:pStyle w:val="SubheadingSH"/>
      </w:pPr>
      <w:r w:rsidRPr="002C60E3">
        <w:t xml:space="preserve">Regular </w:t>
      </w:r>
      <w:r w:rsidR="001C2C36">
        <w:t>C</w:t>
      </w:r>
      <w:r w:rsidRPr="002C60E3">
        <w:t>lient status</w:t>
      </w:r>
    </w:p>
    <w:p w14:paraId="3756B997" w14:textId="10918E93" w:rsidR="002C60E3" w:rsidRDefault="005E2AE8" w:rsidP="00BD5ADC">
      <w:pPr>
        <w:pStyle w:val="BodytextSH"/>
        <w:rPr>
          <w:rStyle w:val="eop"/>
          <w:rFonts w:cs="Arial"/>
          <w:color w:val="000000"/>
          <w:szCs w:val="22"/>
          <w:shd w:val="clear" w:color="auto" w:fill="FFFFFF"/>
        </w:rPr>
      </w:pPr>
      <w:r>
        <w:rPr>
          <w:rStyle w:val="normaltextrun"/>
          <w:rFonts w:cs="Arial"/>
          <w:color w:val="000000"/>
          <w:szCs w:val="22"/>
          <w:shd w:val="clear" w:color="auto" w:fill="FFFFFF"/>
        </w:rPr>
        <w:t xml:space="preserve">Understanding Communicare’s functionality </w:t>
      </w:r>
      <w:r w:rsidR="00067A6D">
        <w:rPr>
          <w:rStyle w:val="normaltextrun"/>
          <w:rFonts w:cs="Arial"/>
          <w:color w:val="000000"/>
          <w:szCs w:val="22"/>
          <w:shd w:val="clear" w:color="auto" w:fill="FFFFFF"/>
        </w:rPr>
        <w:t>for</w:t>
      </w:r>
      <w:r>
        <w:rPr>
          <w:rStyle w:val="normaltextrun"/>
          <w:rFonts w:cs="Arial"/>
          <w:color w:val="000000"/>
          <w:szCs w:val="22"/>
          <w:shd w:val="clear" w:color="auto" w:fill="FFFFFF"/>
        </w:rPr>
        <w:t xml:space="preserve"> user settings can assist health services to manage their nKPI data.</w:t>
      </w:r>
      <w:r>
        <w:rPr>
          <w:rStyle w:val="eop"/>
          <w:rFonts w:cs="Arial"/>
          <w:color w:val="000000"/>
          <w:szCs w:val="22"/>
          <w:shd w:val="clear" w:color="auto" w:fill="FFFFFF"/>
        </w:rPr>
        <w:t> </w:t>
      </w:r>
      <w:r w:rsidR="003B746C">
        <w:rPr>
          <w:rStyle w:val="eop"/>
          <w:rFonts w:cs="Arial"/>
          <w:color w:val="000000"/>
          <w:szCs w:val="22"/>
          <w:shd w:val="clear" w:color="auto" w:fill="FFFFFF"/>
        </w:rPr>
        <w:t xml:space="preserve">It is possible for </w:t>
      </w:r>
      <w:r w:rsidR="00223FD5">
        <w:rPr>
          <w:rStyle w:val="eop"/>
          <w:rFonts w:cs="Arial"/>
          <w:color w:val="000000"/>
          <w:szCs w:val="22"/>
          <w:shd w:val="clear" w:color="auto" w:fill="FFFFFF"/>
        </w:rPr>
        <w:t>non-clinical</w:t>
      </w:r>
      <w:r w:rsidR="003B746C">
        <w:rPr>
          <w:rStyle w:val="eop"/>
          <w:rFonts w:cs="Arial"/>
          <w:color w:val="000000"/>
          <w:szCs w:val="22"/>
          <w:shd w:val="clear" w:color="auto" w:fill="FFFFFF"/>
        </w:rPr>
        <w:t xml:space="preserve"> users to inadvertently create blank or empty visits</w:t>
      </w:r>
      <w:r w:rsidR="00014489">
        <w:rPr>
          <w:rStyle w:val="eop"/>
          <w:rFonts w:cs="Arial"/>
          <w:color w:val="000000"/>
          <w:szCs w:val="22"/>
          <w:shd w:val="clear" w:color="auto" w:fill="FFFFFF"/>
        </w:rPr>
        <w:t xml:space="preserve"> in Communicare</w:t>
      </w:r>
      <w:r w:rsidR="00154DF0">
        <w:rPr>
          <w:rStyle w:val="eop"/>
          <w:rFonts w:cs="Arial"/>
          <w:color w:val="000000"/>
          <w:szCs w:val="22"/>
          <w:shd w:val="clear" w:color="auto" w:fill="FFFFFF"/>
        </w:rPr>
        <w:t>. Th</w:t>
      </w:r>
      <w:r w:rsidR="00301D45">
        <w:rPr>
          <w:rStyle w:val="eop"/>
          <w:rFonts w:cs="Arial"/>
          <w:color w:val="000000"/>
          <w:szCs w:val="22"/>
          <w:shd w:val="clear" w:color="auto" w:fill="FFFFFF"/>
        </w:rPr>
        <w:t xml:space="preserve">ese additional visits </w:t>
      </w:r>
      <w:r w:rsidR="0063117C">
        <w:rPr>
          <w:rStyle w:val="eop"/>
          <w:rFonts w:cs="Arial"/>
          <w:color w:val="000000"/>
          <w:szCs w:val="22"/>
          <w:shd w:val="clear" w:color="auto" w:fill="FFFFFF"/>
        </w:rPr>
        <w:t xml:space="preserve">may result in </w:t>
      </w:r>
      <w:r w:rsidR="00223FD5">
        <w:rPr>
          <w:rStyle w:val="eop"/>
          <w:rFonts w:cs="Arial"/>
          <w:color w:val="000000"/>
          <w:szCs w:val="22"/>
          <w:shd w:val="clear" w:color="auto" w:fill="FFFFFF"/>
        </w:rPr>
        <w:t>higher-than-expected</w:t>
      </w:r>
      <w:r w:rsidR="0063117C">
        <w:rPr>
          <w:rStyle w:val="eop"/>
          <w:rFonts w:cs="Arial"/>
          <w:color w:val="000000"/>
          <w:szCs w:val="22"/>
          <w:shd w:val="clear" w:color="auto" w:fill="FFFFFF"/>
        </w:rPr>
        <w:t xml:space="preserve"> </w:t>
      </w:r>
      <w:r w:rsidR="00EA5E7C">
        <w:rPr>
          <w:rStyle w:val="eop"/>
          <w:rFonts w:cs="Arial"/>
          <w:color w:val="000000"/>
          <w:szCs w:val="22"/>
          <w:shd w:val="clear" w:color="auto" w:fill="FFFFFF"/>
        </w:rPr>
        <w:t xml:space="preserve">counts of </w:t>
      </w:r>
      <w:r w:rsidR="001C2C36">
        <w:rPr>
          <w:rStyle w:val="eop"/>
          <w:rFonts w:cs="Arial"/>
          <w:color w:val="000000"/>
          <w:szCs w:val="22"/>
          <w:shd w:val="clear" w:color="auto" w:fill="FFFFFF"/>
        </w:rPr>
        <w:t>R</w:t>
      </w:r>
      <w:r w:rsidR="00EA5E7C">
        <w:rPr>
          <w:rStyle w:val="eop"/>
          <w:rFonts w:cs="Arial"/>
          <w:color w:val="000000"/>
          <w:szCs w:val="22"/>
          <w:shd w:val="clear" w:color="auto" w:fill="FFFFFF"/>
        </w:rPr>
        <w:t xml:space="preserve">egular </w:t>
      </w:r>
      <w:r w:rsidR="001C2C36">
        <w:rPr>
          <w:rStyle w:val="eop"/>
          <w:rFonts w:cs="Arial"/>
          <w:color w:val="000000"/>
          <w:szCs w:val="22"/>
          <w:shd w:val="clear" w:color="auto" w:fill="FFFFFF"/>
        </w:rPr>
        <w:t>C</w:t>
      </w:r>
      <w:r w:rsidR="00EA5E7C">
        <w:rPr>
          <w:rStyle w:val="eop"/>
          <w:rFonts w:cs="Arial"/>
          <w:color w:val="000000"/>
          <w:szCs w:val="22"/>
          <w:shd w:val="clear" w:color="auto" w:fill="FFFFFF"/>
        </w:rPr>
        <w:t xml:space="preserve">lients. </w:t>
      </w:r>
      <w:r w:rsidR="00002320">
        <w:rPr>
          <w:rStyle w:val="eop"/>
          <w:rFonts w:cs="Arial"/>
          <w:color w:val="000000"/>
          <w:szCs w:val="22"/>
          <w:shd w:val="clear" w:color="auto" w:fill="FFFFFF"/>
        </w:rPr>
        <w:t>T</w:t>
      </w:r>
      <w:r w:rsidR="00152475">
        <w:rPr>
          <w:rStyle w:val="eop"/>
          <w:rFonts w:cs="Arial"/>
          <w:color w:val="000000"/>
          <w:szCs w:val="22"/>
          <w:shd w:val="clear" w:color="auto" w:fill="FFFFFF"/>
        </w:rPr>
        <w:t>here is a separate article which provides more detail on this issue as well as tips and tools to assist health services to identify whether they are impacted by this and for mitigating the issue.</w:t>
      </w:r>
    </w:p>
    <w:p w14:paraId="444B13BA" w14:textId="16127FFE" w:rsidR="00152475" w:rsidRPr="00A62C25" w:rsidRDefault="00152475" w:rsidP="00BD5ADC">
      <w:pPr>
        <w:pStyle w:val="BodytextSH"/>
      </w:pPr>
      <w:r w:rsidRPr="007547FD">
        <w:rPr>
          <w:rStyle w:val="eop"/>
          <w:rFonts w:cs="Arial"/>
          <w:b/>
          <w:bCs/>
          <w:color w:val="000000"/>
          <w:szCs w:val="22"/>
          <w:shd w:val="clear" w:color="auto" w:fill="FFFFFF"/>
        </w:rPr>
        <w:t>TIP:</w:t>
      </w:r>
      <w:r>
        <w:rPr>
          <w:rStyle w:val="eop"/>
          <w:rFonts w:cs="Arial"/>
          <w:color w:val="000000"/>
          <w:szCs w:val="22"/>
          <w:shd w:val="clear" w:color="auto" w:fill="FFFFFF"/>
        </w:rPr>
        <w:t xml:space="preserve"> </w:t>
      </w:r>
      <w:r w:rsidR="00766841">
        <w:rPr>
          <w:rStyle w:val="eop"/>
          <w:rFonts w:cs="Arial"/>
          <w:color w:val="000000"/>
          <w:szCs w:val="22"/>
          <w:shd w:val="clear" w:color="auto" w:fill="FFFFFF"/>
        </w:rPr>
        <w:t xml:space="preserve">Read the related article to </w:t>
      </w:r>
      <w:r w:rsidR="00C72AE6">
        <w:rPr>
          <w:rStyle w:val="eop"/>
          <w:rFonts w:cs="Arial"/>
          <w:color w:val="000000"/>
          <w:szCs w:val="22"/>
          <w:shd w:val="clear" w:color="auto" w:fill="FFFFFF"/>
        </w:rPr>
        <w:t>learn how to mitigate the risk of creating empty visits.</w:t>
      </w:r>
    </w:p>
    <w:p w14:paraId="2D7FF5DC" w14:textId="54F713B1" w:rsidR="00BD5ADC" w:rsidRDefault="00055DB4" w:rsidP="00BD5ADC">
      <w:pPr>
        <w:pStyle w:val="BodytextSH"/>
      </w:pPr>
      <w:r>
        <w:rPr>
          <w:noProof/>
        </w:rPr>
        <mc:AlternateContent>
          <mc:Choice Requires="wps">
            <w:drawing>
              <wp:anchor distT="0" distB="0" distL="114300" distR="114300" simplePos="0" relativeHeight="251658243" behindDoc="0" locked="0" layoutInCell="1" allowOverlap="1" wp14:anchorId="3DF33634" wp14:editId="23FC42B8">
                <wp:simplePos x="0" y="0"/>
                <wp:positionH relativeFrom="margin">
                  <wp:posOffset>-40005</wp:posOffset>
                </wp:positionH>
                <wp:positionV relativeFrom="paragraph">
                  <wp:posOffset>175861</wp:posOffset>
                </wp:positionV>
                <wp:extent cx="5400000" cy="1987826"/>
                <wp:effectExtent l="0" t="0" r="10795" b="19050"/>
                <wp:wrapNone/>
                <wp:docPr id="1178722753" name="Text Box 1"/>
                <wp:cNvGraphicFramePr/>
                <a:graphic xmlns:a="http://schemas.openxmlformats.org/drawingml/2006/main">
                  <a:graphicData uri="http://schemas.microsoft.com/office/word/2010/wordprocessingShape">
                    <wps:wsp>
                      <wps:cNvSpPr txBox="1"/>
                      <wps:spPr>
                        <a:xfrm>
                          <a:off x="0" y="0"/>
                          <a:ext cx="5400000" cy="1987826"/>
                        </a:xfrm>
                        <a:prstGeom prst="roundRect">
                          <a:avLst/>
                        </a:prstGeom>
                        <a:solidFill>
                          <a:srgbClr val="CCEDEB"/>
                        </a:solidFill>
                        <a:ln w="6350">
                          <a:solidFill>
                            <a:srgbClr val="1AA4A0"/>
                          </a:solidFill>
                        </a:ln>
                        <a:effectLst>
                          <a:softEdge rad="0"/>
                        </a:effectLst>
                      </wps:spPr>
                      <wps:txbx>
                        <w:txbxContent>
                          <w:p w14:paraId="29808DB8" w14:textId="3AFF9791" w:rsidR="00BD5ADC" w:rsidRPr="0037262A" w:rsidRDefault="00BD5ADC" w:rsidP="00BD5ADC">
                            <w:pPr>
                              <w:rPr>
                                <w:rFonts w:ascii="Arial" w:hAnsi="Arial" w:cs="Arial"/>
                              </w:rPr>
                            </w:pPr>
                            <w:r w:rsidRPr="0037262A">
                              <w:rPr>
                                <w:rFonts w:ascii="Arial" w:hAnsi="Arial" w:cs="Arial"/>
                              </w:rPr>
                              <w:t>Key takeaways:</w:t>
                            </w:r>
                          </w:p>
                          <w:p w14:paraId="4392EA5D" w14:textId="03CB14A6" w:rsidR="00D93794" w:rsidRDefault="00D93794" w:rsidP="00D93794">
                            <w:pPr>
                              <w:pStyle w:val="BulletSH"/>
                            </w:pPr>
                            <w:r>
                              <w:t>All telephone encounters are counted as eligible visits</w:t>
                            </w:r>
                            <w:r w:rsidR="00DA70A5">
                              <w:t xml:space="preserve">. This </w:t>
                            </w:r>
                            <w:r>
                              <w:t xml:space="preserve">may inflate </w:t>
                            </w:r>
                            <w:r w:rsidR="001C2C36">
                              <w:t>R</w:t>
                            </w:r>
                            <w:r w:rsidR="001C2C36" w:rsidRPr="006B1D3C">
                              <w:t xml:space="preserve">egular </w:t>
                            </w:r>
                            <w:r w:rsidR="001C2C36">
                              <w:t>C</w:t>
                            </w:r>
                            <w:r w:rsidR="001C2C36" w:rsidRPr="006B1D3C">
                              <w:t>lient</w:t>
                            </w:r>
                            <w:r>
                              <w:t xml:space="preserve"> numbers if non-clinical staff record their </w:t>
                            </w:r>
                            <w:r w:rsidR="001153E8">
                              <w:t>client interactions</w:t>
                            </w:r>
                            <w:r>
                              <w:t xml:space="preserve"> this way.</w:t>
                            </w:r>
                          </w:p>
                          <w:p w14:paraId="74933A5F" w14:textId="5B56EB73" w:rsidR="0011462D" w:rsidRDefault="00DE625D" w:rsidP="00D93794">
                            <w:pPr>
                              <w:pStyle w:val="BulletSH"/>
                            </w:pPr>
                            <w:r>
                              <w:t xml:space="preserve">Communicare uses </w:t>
                            </w:r>
                            <w:r w:rsidR="009926AD">
                              <w:t xml:space="preserve">calculated estimates for gestational age </w:t>
                            </w:r>
                            <w:r w:rsidR="001613E4">
                              <w:t>at the first antenatal visit if not directly recorded</w:t>
                            </w:r>
                            <w:r w:rsidR="009D5ED5">
                              <w:t xml:space="preserve"> and may include births where both GA and birthweight are missing, which can lead to an overcount</w:t>
                            </w:r>
                            <w:r w:rsidR="0028029B">
                              <w:t xml:space="preserve"> in PI13.</w:t>
                            </w:r>
                          </w:p>
                          <w:p w14:paraId="14F82036" w14:textId="77777777" w:rsidR="000C6F75" w:rsidRDefault="000C6F75" w:rsidP="000C6F75">
                            <w:pPr>
                              <w:pStyle w:val="BulletSH"/>
                            </w:pPr>
                            <w:r>
                              <w:t>Inaccurate or unverified use of system and export codes in Communicare can lead to inaccurate reporting when applied to locally created items.</w:t>
                            </w:r>
                          </w:p>
                          <w:p w14:paraId="52132B5A" w14:textId="77777777" w:rsidR="00332C9B" w:rsidRDefault="00332C9B" w:rsidP="00D93794">
                            <w:pPr>
                              <w:pStyle w:val="BulletSH"/>
                            </w:pPr>
                          </w:p>
                          <w:p w14:paraId="7926ADD9" w14:textId="77777777" w:rsidR="00BD5ADC" w:rsidRDefault="00BD5ADC" w:rsidP="00BD5A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33634" id="Text Box 1" o:spid="_x0000_s1026" style="position:absolute;margin-left:-3.15pt;margin-top:13.85pt;width:425.2pt;height:15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" fillcolor="#ccedeb" strokecolor="#1aa4a0" strokeweight=".5pt">
                <v:textbox>
                  <w:txbxContent>
                    <w:p w14:paraId="29808DB8" w14:textId="3AFF9791" w:rsidR="00BD5ADC" w:rsidRPr="0037262A" w:rsidRDefault="00BD5ADC" w:rsidP="00BD5ADC">
                      <w:pPr>
                        <w:rPr>
                          <w:rFonts w:ascii="Arial" w:hAnsi="Arial" w:cs="Arial"/>
                        </w:rPr>
                      </w:pPr>
                      <w:r w:rsidRPr="0037262A">
                        <w:rPr>
                          <w:rFonts w:ascii="Arial" w:hAnsi="Arial" w:cs="Arial"/>
                        </w:rPr>
                        <w:t>Key takeaways:</w:t>
                      </w:r>
                    </w:p>
                    <w:p w14:paraId="4392EA5D" w14:textId="03CB14A6" w:rsidR="00D93794" w:rsidRDefault="00D93794" w:rsidP="00D93794">
                      <w:pPr>
                        <w:pStyle w:val="BulletSH"/>
                      </w:pPr>
                      <w:r>
                        <w:t>All telephone encounters are counted as eligible visits</w:t>
                      </w:r>
                      <w:r w:rsidR="00DA70A5">
                        <w:t xml:space="preserve">. This </w:t>
                      </w:r>
                      <w:r>
                        <w:t xml:space="preserve">may inflate </w:t>
                      </w:r>
                      <w:r w:rsidR="001C2C36">
                        <w:t>R</w:t>
                      </w:r>
                      <w:r w:rsidR="001C2C36" w:rsidRPr="006B1D3C">
                        <w:t xml:space="preserve">egular </w:t>
                      </w:r>
                      <w:r w:rsidR="001C2C36">
                        <w:t>C</w:t>
                      </w:r>
                      <w:r w:rsidR="001C2C36" w:rsidRPr="006B1D3C">
                        <w:t>lient</w:t>
                      </w:r>
                      <w:r>
                        <w:t xml:space="preserve"> numbers if non-clinical staff record their </w:t>
                      </w:r>
                      <w:r w:rsidR="001153E8">
                        <w:t>client interactions</w:t>
                      </w:r>
                      <w:r>
                        <w:t xml:space="preserve"> this way.</w:t>
                      </w:r>
                    </w:p>
                    <w:p w14:paraId="74933A5F" w14:textId="5B56EB73" w:rsidR="0011462D" w:rsidRDefault="00DE625D" w:rsidP="00D93794">
                      <w:pPr>
                        <w:pStyle w:val="BulletSH"/>
                      </w:pPr>
                      <w:r>
                        <w:t xml:space="preserve">Communicare uses </w:t>
                      </w:r>
                      <w:r w:rsidR="009926AD">
                        <w:t xml:space="preserve">calculated estimates for gestational age </w:t>
                      </w:r>
                      <w:r w:rsidR="001613E4">
                        <w:t>at the first antenatal visit if not directly recorded</w:t>
                      </w:r>
                      <w:r w:rsidR="009D5ED5">
                        <w:t xml:space="preserve"> and may include births where both GA and birthweight are missing, which can lead to an overcount</w:t>
                      </w:r>
                      <w:r w:rsidR="0028029B">
                        <w:t xml:space="preserve"> in PI13.</w:t>
                      </w:r>
                    </w:p>
                    <w:p w14:paraId="14F82036" w14:textId="77777777" w:rsidR="000C6F75" w:rsidRDefault="000C6F75" w:rsidP="000C6F75">
                      <w:pPr>
                        <w:pStyle w:val="BulletSH"/>
                      </w:pPr>
                      <w:r>
                        <w:t>Inaccurate or unverified use of system and export codes in Communicare can lead to inaccurate reporting when applied to locally created items.</w:t>
                      </w:r>
                    </w:p>
                    <w:p w14:paraId="52132B5A" w14:textId="77777777" w:rsidR="00332C9B" w:rsidRDefault="00332C9B" w:rsidP="00D93794">
                      <w:pPr>
                        <w:pStyle w:val="BulletSH"/>
                      </w:pPr>
                    </w:p>
                    <w:p w14:paraId="7926ADD9" w14:textId="77777777" w:rsidR="00BD5ADC" w:rsidRDefault="00BD5ADC" w:rsidP="00BD5ADC"/>
                  </w:txbxContent>
                </v:textbox>
                <w10:wrap anchorx="margin"/>
              </v:roundrect>
            </w:pict>
          </mc:Fallback>
        </mc:AlternateContent>
      </w:r>
    </w:p>
    <w:p w14:paraId="400B841B" w14:textId="2EF9EB7C" w:rsidR="00BD5ADC" w:rsidRPr="00ED2D3C" w:rsidRDefault="00BD5ADC" w:rsidP="00DA70A5">
      <w:pPr>
        <w:pStyle w:val="BodytextSH"/>
      </w:pPr>
    </w:p>
    <w:p w14:paraId="7607C7E5" w14:textId="5D562E86" w:rsidR="00ED2D3C" w:rsidRDefault="00ED2D3C" w:rsidP="000E04BA">
      <w:pPr>
        <w:spacing w:before="100" w:beforeAutospacing="1" w:after="100" w:afterAutospacing="1"/>
        <w:ind w:left="720"/>
      </w:pPr>
    </w:p>
    <w:p w14:paraId="4EF7B3C6" w14:textId="3B520784" w:rsidR="009779AA" w:rsidRDefault="009779AA" w:rsidP="006653EA">
      <w:pPr>
        <w:pStyle w:val="Heading1SH"/>
      </w:pPr>
    </w:p>
    <w:p w14:paraId="576A51D6" w14:textId="77777777" w:rsidR="008D156C" w:rsidRDefault="008D156C" w:rsidP="006653EA">
      <w:pPr>
        <w:pStyle w:val="Heading1SH"/>
      </w:pPr>
    </w:p>
    <w:p w14:paraId="370A01DE" w14:textId="77777777" w:rsidR="008D156C" w:rsidRDefault="008D156C" w:rsidP="006653EA">
      <w:pPr>
        <w:pStyle w:val="Heading1SH"/>
      </w:pPr>
    </w:p>
    <w:p w14:paraId="44BBD5E2" w14:textId="77777777" w:rsidR="00C80B55" w:rsidRDefault="00C80B55">
      <w:pPr>
        <w:rPr>
          <w:rFonts w:ascii="Arial" w:hAnsi="Arial" w:cs="Arial"/>
          <w:b/>
          <w:bCs/>
          <w:color w:val="152775"/>
          <w:sz w:val="36"/>
        </w:rPr>
      </w:pPr>
      <w:r>
        <w:br w:type="page"/>
      </w:r>
    </w:p>
    <w:p w14:paraId="05E7139A" w14:textId="34A8A482" w:rsidR="003729C7" w:rsidRDefault="003729C7" w:rsidP="003729C7">
      <w:pPr>
        <w:pStyle w:val="Heading1SH"/>
      </w:pPr>
      <w:r>
        <w:lastRenderedPageBreak/>
        <w:t>Resources</w:t>
      </w:r>
    </w:p>
    <w:p w14:paraId="1E3C5B04" w14:textId="577039A2" w:rsidR="00287DB9" w:rsidRPr="00C15DAE" w:rsidRDefault="00287DB9" w:rsidP="00287DB9">
      <w:pPr>
        <w:pStyle w:val="BodytextSH"/>
        <w:rPr>
          <w:rStyle w:val="normaltextrun"/>
        </w:rPr>
      </w:pPr>
      <w:r>
        <w:rPr>
          <w:rStyle w:val="normaltextrun"/>
          <w:rFonts w:cs="Arial"/>
          <w:color w:val="000000"/>
          <w:szCs w:val="22"/>
          <w:shd w:val="clear" w:color="auto" w:fill="FFFFFF"/>
        </w:rPr>
        <w:t>Links to supporting documents, information and further reading: </w:t>
      </w:r>
      <w:r>
        <w:rPr>
          <w:rStyle w:val="eop"/>
          <w:rFonts w:cs="Arial"/>
          <w:color w:val="000000"/>
          <w:szCs w:val="22"/>
          <w:shd w:val="clear" w:color="auto" w:fill="FFFFFF"/>
        </w:rPr>
        <w:t> </w:t>
      </w:r>
    </w:p>
    <w:p w14:paraId="306096DC" w14:textId="2A6DC50E" w:rsidR="003729C7" w:rsidRDefault="002C0137" w:rsidP="003729C7">
      <w:pPr>
        <w:pStyle w:val="BulletSH"/>
      </w:pPr>
      <w:r>
        <w:rPr>
          <w:rStyle w:val="Strong"/>
        </w:rPr>
        <w:t>Specifications for nKPI and OSR:</w:t>
      </w:r>
      <w:r>
        <w:t xml:space="preserve"> This document is for service providers and clinical information system vendors. It gives a detailed overview of foundation data concepts, related data, and a full explanation of each measure—covering inclusions, exclusions, counting rules, measure code disaggregation points, and the nKPI Condition and Pathology Coding Frameworks. It also highlights variances in vendor implementation for selected measures. You can access the Specifications here: </w:t>
      </w:r>
      <w:hyperlink r:id="rId14" w:tgtFrame="_new" w:history="1">
        <w:r>
          <w:rPr>
            <w:rStyle w:val="Hyperlink"/>
          </w:rPr>
          <w:t>https://www.solvinghealth.au/specifications</w:t>
        </w:r>
      </w:hyperlink>
      <w:r w:rsidR="003729C7">
        <w:t xml:space="preserve"> </w:t>
      </w:r>
    </w:p>
    <w:p w14:paraId="1DA5E07C" w14:textId="087E3C2B" w:rsidR="00287DB9" w:rsidRDefault="00287DB9" w:rsidP="003729C7">
      <w:pPr>
        <w:pStyle w:val="BulletSH"/>
      </w:pPr>
      <w:r w:rsidRPr="2A381E1E">
        <w:rPr>
          <w:rStyle w:val="normaltextrun"/>
          <w:b/>
          <w:color w:val="000000"/>
          <w:shd w:val="clear" w:color="auto" w:fill="FFFFFF"/>
        </w:rPr>
        <w:t>CIS User Guides:</w:t>
      </w:r>
      <w:r w:rsidRPr="2A381E1E">
        <w:rPr>
          <w:rStyle w:val="normaltextrun"/>
          <w:color w:val="000000"/>
          <w:shd w:val="clear" w:color="auto" w:fill="FFFFFF"/>
        </w:rPr>
        <w:t xml:space="preserve"> These explain how vendor</w:t>
      </w:r>
      <w:r w:rsidR="00B85436" w:rsidRPr="2A381E1E">
        <w:rPr>
          <w:rStyle w:val="normaltextrun"/>
          <w:color w:val="000000"/>
          <w:shd w:val="clear" w:color="auto" w:fill="FFFFFF"/>
        </w:rPr>
        <w:t>s</w:t>
      </w:r>
      <w:r w:rsidRPr="2A381E1E">
        <w:rPr>
          <w:rStyle w:val="normaltextrun"/>
          <w:color w:val="000000"/>
          <w:shd w:val="clear" w:color="auto" w:fill="FFFFFF"/>
        </w:rPr>
        <w:t xml:space="preserve"> report</w:t>
      </w:r>
      <w:r w:rsidR="00B85436" w:rsidRPr="2A381E1E">
        <w:rPr>
          <w:rStyle w:val="normaltextrun"/>
          <w:color w:val="000000"/>
          <w:shd w:val="clear" w:color="auto" w:fill="FFFFFF"/>
        </w:rPr>
        <w:t xml:space="preserve"> indicators </w:t>
      </w:r>
      <w:r w:rsidRPr="2A381E1E">
        <w:rPr>
          <w:rStyle w:val="normaltextrun"/>
          <w:color w:val="000000"/>
          <w:shd w:val="clear" w:color="auto" w:fill="FFFFFF"/>
        </w:rPr>
        <w:t xml:space="preserve">and where data need to be </w:t>
      </w:r>
      <w:r w:rsidR="00F5039F" w:rsidRPr="2A381E1E">
        <w:rPr>
          <w:rStyle w:val="normaltextrun"/>
          <w:color w:val="000000"/>
          <w:shd w:val="clear" w:color="auto" w:fill="FFFFFF"/>
        </w:rPr>
        <w:t>recorded in the CIS to optimise reporting</w:t>
      </w:r>
      <w:r w:rsidRPr="2A381E1E">
        <w:rPr>
          <w:rStyle w:val="normaltextrun"/>
          <w:color w:val="000000"/>
          <w:shd w:val="clear" w:color="auto" w:fill="FFFFFF"/>
        </w:rPr>
        <w:t>. Refer to the article CIS User Guides for links or visit the link in the Specifications (dot point above) which has links to vendor documents at the end of the web page.</w:t>
      </w:r>
      <w:r w:rsidRPr="2A381E1E">
        <w:rPr>
          <w:rStyle w:val="eop"/>
          <w:color w:val="000000"/>
          <w:shd w:val="clear" w:color="auto" w:fill="FFFFFF"/>
        </w:rPr>
        <w:t> </w:t>
      </w:r>
    </w:p>
    <w:p w14:paraId="48EB3206" w14:textId="77777777" w:rsidR="00287DB9" w:rsidRPr="00287DB9" w:rsidRDefault="00287DB9" w:rsidP="00287DB9">
      <w:pPr>
        <w:pStyle w:val="BulletSH"/>
        <w:rPr>
          <w:rStyle w:val="eop"/>
        </w:rPr>
      </w:pPr>
      <w:r>
        <w:rPr>
          <w:rStyle w:val="normaltextrun"/>
          <w:b/>
          <w:bCs w:val="0"/>
          <w:color w:val="000000"/>
          <w:szCs w:val="22"/>
          <w:shd w:val="clear" w:color="auto" w:fill="FFFFFF"/>
        </w:rPr>
        <w:t>Vendor scorecard:</w:t>
      </w:r>
      <w:r>
        <w:rPr>
          <w:rStyle w:val="normaltextrun"/>
          <w:color w:val="000000"/>
          <w:szCs w:val="22"/>
          <w:shd w:val="clear" w:color="auto" w:fill="FFFFFF"/>
        </w:rPr>
        <w:t xml:space="preserve"> The vendor scorecard is a one page visual that compares results for nKPI and OSR across CIS: </w:t>
      </w:r>
      <w:hyperlink r:id="rId15" w:tgtFrame="_blank" w:history="1">
        <w:r>
          <w:rPr>
            <w:rStyle w:val="normaltextrun"/>
            <w:color w:val="000000"/>
            <w:szCs w:val="22"/>
            <w:u w:val="single"/>
            <w:shd w:val="clear" w:color="auto" w:fill="E1E3E6"/>
          </w:rPr>
          <w:t>https://www.solvinghealth.au/scorecard</w:t>
        </w:r>
      </w:hyperlink>
      <w:r>
        <w:rPr>
          <w:rStyle w:val="normaltextrun"/>
          <w:color w:val="000000"/>
          <w:szCs w:val="22"/>
          <w:shd w:val="clear" w:color="auto" w:fill="FFFFFF"/>
        </w:rPr>
        <w:t> </w:t>
      </w:r>
      <w:r>
        <w:rPr>
          <w:rStyle w:val="eop"/>
          <w:color w:val="000000"/>
          <w:szCs w:val="22"/>
          <w:shd w:val="clear" w:color="auto" w:fill="FFFFFF"/>
        </w:rPr>
        <w:t> </w:t>
      </w:r>
    </w:p>
    <w:p w14:paraId="5FBE66CE" w14:textId="57FCBADB" w:rsidR="00287DB9" w:rsidRDefault="00287DB9" w:rsidP="00287DB9">
      <w:pPr>
        <w:pStyle w:val="BodytextSH"/>
      </w:pPr>
      <w:r>
        <w:rPr>
          <w:rStyle w:val="normaltextrun"/>
          <w:rFonts w:cs="Arial"/>
          <w:color w:val="000000"/>
          <w:szCs w:val="22"/>
          <w:shd w:val="clear" w:color="auto" w:fill="FFFFFF"/>
        </w:rPr>
        <w:t>For more data management tips see the other articles in this series available at:</w:t>
      </w:r>
      <w:r w:rsidR="009D5BF9" w:rsidRPr="009D5BF9">
        <w:rPr>
          <w:rFonts w:asciiTheme="minorHAnsi" w:hAnsiTheme="minorHAnsi" w:cstheme="minorBidi"/>
          <w:kern w:val="0"/>
          <w:szCs w:val="22"/>
          <w14:ligatures w14:val="none"/>
        </w:rPr>
        <w:t xml:space="preserve"> </w:t>
      </w:r>
      <w:hyperlink r:id="rId16" w:anchor="ClinicalInformationSystem(CIS)EducationArticles" w:history="1">
        <w:r w:rsidR="009D5BF9" w:rsidRPr="009D5BF9">
          <w:rPr>
            <w:rStyle w:val="Hyperlink"/>
            <w:rFonts w:cs="Arial"/>
            <w:szCs w:val="22"/>
            <w:shd w:val="clear" w:color="auto" w:fill="FFFFFF"/>
          </w:rPr>
          <w:t>Clinical Information System (CIS) Education Articles</w:t>
        </w:r>
      </w:hyperlink>
    </w:p>
    <w:p w14:paraId="3B972632" w14:textId="77777777" w:rsidR="002B5DB3" w:rsidRDefault="002B5DB3" w:rsidP="002B5DB3"/>
    <w:p w14:paraId="1B0CA339" w14:textId="19275AB6" w:rsidR="00AF0FD7" w:rsidRDefault="00AF0FD7" w:rsidP="002B5DB3"/>
    <w:sectPr w:rsidR="00AF0FD7" w:rsidSect="002B5DB3">
      <w:footerReference w:type="default" r:id="rId17"/>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548A" w14:textId="77777777" w:rsidR="00217C8B" w:rsidRDefault="00217C8B" w:rsidP="00AD66D6">
      <w:r>
        <w:separator/>
      </w:r>
    </w:p>
  </w:endnote>
  <w:endnote w:type="continuationSeparator" w:id="0">
    <w:p w14:paraId="527E8BCE" w14:textId="77777777" w:rsidR="00217C8B" w:rsidRDefault="00217C8B" w:rsidP="00AD66D6">
      <w:r>
        <w:continuationSeparator/>
      </w:r>
    </w:p>
  </w:endnote>
  <w:endnote w:type="continuationNotice" w:id="1">
    <w:p w14:paraId="60D69C8C" w14:textId="77777777" w:rsidR="00217C8B" w:rsidRDefault="00217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dy CS)">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7C0BF74E" w:rsidR="00AD66D6" w:rsidRPr="006E51CB" w:rsidRDefault="00AD66D6" w:rsidP="00AD66D6">
    <w:pPr>
      <w:pStyle w:val="FooterSH"/>
      <w:tabs>
        <w:tab w:val="right" w:pos="8931"/>
      </w:tabs>
      <w:ind w:right="-6"/>
      <w:rPr>
        <w:color w:val="505050"/>
      </w:rPr>
    </w:pPr>
    <w:r w:rsidRPr="006E51CB">
      <w:rPr>
        <w:color w:val="505050"/>
      </w:rPr>
      <w:tab/>
    </w:r>
    <w:r w:rsidRPr="006E51CB">
      <w:rPr>
        <w:color w:val="505050"/>
      </w:rPr>
      <w:fldChar w:fldCharType="begin"/>
    </w:r>
    <w:r w:rsidRPr="006E51CB">
      <w:rPr>
        <w:color w:val="505050"/>
      </w:rPr>
      <w:instrText xml:space="preserve"> PAGE </w:instrText>
    </w:r>
    <w:r w:rsidRPr="006E51CB">
      <w:rPr>
        <w:color w:val="505050"/>
      </w:rPr>
      <w:fldChar w:fldCharType="separate"/>
    </w:r>
    <w:r w:rsidRPr="006E51CB">
      <w:rPr>
        <w:color w:val="505050"/>
      </w:rPr>
      <w:t>1</w:t>
    </w:r>
    <w:r w:rsidRPr="006E51CB">
      <w:rPr>
        <w:color w:val="505050"/>
      </w:rPr>
      <w:fldChar w:fldCharType="end"/>
    </w:r>
  </w:p>
  <w:p w14:paraId="1A6F4DC5"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F354F" w14:textId="77777777" w:rsidR="00217C8B" w:rsidRDefault="00217C8B" w:rsidP="00AD66D6">
      <w:r>
        <w:separator/>
      </w:r>
    </w:p>
  </w:footnote>
  <w:footnote w:type="continuationSeparator" w:id="0">
    <w:p w14:paraId="3E08016D" w14:textId="77777777" w:rsidR="00217C8B" w:rsidRDefault="00217C8B" w:rsidP="00AD66D6">
      <w:r>
        <w:continuationSeparator/>
      </w:r>
    </w:p>
  </w:footnote>
  <w:footnote w:type="continuationNotice" w:id="1">
    <w:p w14:paraId="230B6387" w14:textId="77777777" w:rsidR="00217C8B" w:rsidRDefault="00217C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10"/>
    <w:multiLevelType w:val="hybridMultilevel"/>
    <w:tmpl w:val="A2728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967E89"/>
    <w:multiLevelType w:val="multilevel"/>
    <w:tmpl w:val="395CD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6561A"/>
    <w:multiLevelType w:val="hybridMultilevel"/>
    <w:tmpl w:val="62A246A4"/>
    <w:lvl w:ilvl="0" w:tplc="75E8AA60">
      <w:start w:val="1"/>
      <w:numFmt w:val="decimal"/>
      <w:pStyle w:val="Numberedlist-S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851E88"/>
    <w:multiLevelType w:val="hybridMultilevel"/>
    <w:tmpl w:val="149636F6"/>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 w15:restartNumberingAfterBreak="0">
    <w:nsid w:val="7BFB19D5"/>
    <w:multiLevelType w:val="hybridMultilevel"/>
    <w:tmpl w:val="667E6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6169726">
    <w:abstractNumId w:val="5"/>
  </w:num>
  <w:num w:numId="2" w16cid:durableId="198860622">
    <w:abstractNumId w:val="2"/>
  </w:num>
  <w:num w:numId="3" w16cid:durableId="409347149">
    <w:abstractNumId w:val="6"/>
  </w:num>
  <w:num w:numId="4" w16cid:durableId="995886109">
    <w:abstractNumId w:val="1"/>
  </w:num>
  <w:num w:numId="5" w16cid:durableId="1125780107">
    <w:abstractNumId w:val="4"/>
  </w:num>
  <w:num w:numId="6" w16cid:durableId="1115296088">
    <w:abstractNumId w:val="1"/>
  </w:num>
  <w:num w:numId="7" w16cid:durableId="845481309">
    <w:abstractNumId w:val="7"/>
  </w:num>
  <w:num w:numId="8" w16cid:durableId="718632434">
    <w:abstractNumId w:val="0"/>
  </w:num>
  <w:num w:numId="9" w16cid:durableId="33896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0037"/>
    <w:rsid w:val="000013A2"/>
    <w:rsid w:val="00001D07"/>
    <w:rsid w:val="00002320"/>
    <w:rsid w:val="000043B3"/>
    <w:rsid w:val="00005579"/>
    <w:rsid w:val="00010267"/>
    <w:rsid w:val="00011D88"/>
    <w:rsid w:val="00013317"/>
    <w:rsid w:val="00013359"/>
    <w:rsid w:val="00014489"/>
    <w:rsid w:val="00014BD8"/>
    <w:rsid w:val="0001584B"/>
    <w:rsid w:val="00015E0C"/>
    <w:rsid w:val="00016F24"/>
    <w:rsid w:val="000205B7"/>
    <w:rsid w:val="0002116F"/>
    <w:rsid w:val="000211F8"/>
    <w:rsid w:val="0002254A"/>
    <w:rsid w:val="0002290E"/>
    <w:rsid w:val="00024E8B"/>
    <w:rsid w:val="00026A92"/>
    <w:rsid w:val="000272C0"/>
    <w:rsid w:val="00032755"/>
    <w:rsid w:val="00035F12"/>
    <w:rsid w:val="00037722"/>
    <w:rsid w:val="00037BCB"/>
    <w:rsid w:val="00040CA6"/>
    <w:rsid w:val="00042542"/>
    <w:rsid w:val="000434A3"/>
    <w:rsid w:val="0004459A"/>
    <w:rsid w:val="000445CD"/>
    <w:rsid w:val="000468E7"/>
    <w:rsid w:val="00046D40"/>
    <w:rsid w:val="00047FAB"/>
    <w:rsid w:val="000512B6"/>
    <w:rsid w:val="00051AED"/>
    <w:rsid w:val="00052417"/>
    <w:rsid w:val="00054E11"/>
    <w:rsid w:val="00055DB4"/>
    <w:rsid w:val="000579EE"/>
    <w:rsid w:val="0006297B"/>
    <w:rsid w:val="00063CBC"/>
    <w:rsid w:val="00063FF7"/>
    <w:rsid w:val="000646AD"/>
    <w:rsid w:val="000663E7"/>
    <w:rsid w:val="0006647D"/>
    <w:rsid w:val="00067A6D"/>
    <w:rsid w:val="000700EF"/>
    <w:rsid w:val="00071049"/>
    <w:rsid w:val="0007147F"/>
    <w:rsid w:val="000717F0"/>
    <w:rsid w:val="00072260"/>
    <w:rsid w:val="00073668"/>
    <w:rsid w:val="00073E75"/>
    <w:rsid w:val="0007443E"/>
    <w:rsid w:val="00075F8B"/>
    <w:rsid w:val="000768DF"/>
    <w:rsid w:val="000778D4"/>
    <w:rsid w:val="00077BA0"/>
    <w:rsid w:val="00082D12"/>
    <w:rsid w:val="00084DDF"/>
    <w:rsid w:val="0008520D"/>
    <w:rsid w:val="00086245"/>
    <w:rsid w:val="000876E7"/>
    <w:rsid w:val="00090616"/>
    <w:rsid w:val="00091A08"/>
    <w:rsid w:val="00093332"/>
    <w:rsid w:val="0009344D"/>
    <w:rsid w:val="00093F64"/>
    <w:rsid w:val="000A1162"/>
    <w:rsid w:val="000A1469"/>
    <w:rsid w:val="000A2D9A"/>
    <w:rsid w:val="000A2EBF"/>
    <w:rsid w:val="000A42EB"/>
    <w:rsid w:val="000A44C8"/>
    <w:rsid w:val="000B18B2"/>
    <w:rsid w:val="000B36AA"/>
    <w:rsid w:val="000B44A0"/>
    <w:rsid w:val="000B5E21"/>
    <w:rsid w:val="000B777E"/>
    <w:rsid w:val="000C11CE"/>
    <w:rsid w:val="000C1B40"/>
    <w:rsid w:val="000C235F"/>
    <w:rsid w:val="000C2B50"/>
    <w:rsid w:val="000C3CD4"/>
    <w:rsid w:val="000C3E5B"/>
    <w:rsid w:val="000C4BAC"/>
    <w:rsid w:val="000C5EBB"/>
    <w:rsid w:val="000C6AE5"/>
    <w:rsid w:val="000C6F75"/>
    <w:rsid w:val="000D2085"/>
    <w:rsid w:val="000D417F"/>
    <w:rsid w:val="000D58FD"/>
    <w:rsid w:val="000D69FA"/>
    <w:rsid w:val="000D71B5"/>
    <w:rsid w:val="000E0250"/>
    <w:rsid w:val="000E04BA"/>
    <w:rsid w:val="000E1F4A"/>
    <w:rsid w:val="000E2894"/>
    <w:rsid w:val="000E295A"/>
    <w:rsid w:val="000E36C1"/>
    <w:rsid w:val="000E37ED"/>
    <w:rsid w:val="000E3AD9"/>
    <w:rsid w:val="000E50F1"/>
    <w:rsid w:val="000E54D8"/>
    <w:rsid w:val="000E78A2"/>
    <w:rsid w:val="000F32D0"/>
    <w:rsid w:val="000F4D62"/>
    <w:rsid w:val="000F5335"/>
    <w:rsid w:val="000F79B3"/>
    <w:rsid w:val="00102762"/>
    <w:rsid w:val="0010419E"/>
    <w:rsid w:val="0010433D"/>
    <w:rsid w:val="00106568"/>
    <w:rsid w:val="00112356"/>
    <w:rsid w:val="0011462D"/>
    <w:rsid w:val="001146AF"/>
    <w:rsid w:val="001153E8"/>
    <w:rsid w:val="001201F3"/>
    <w:rsid w:val="001204B2"/>
    <w:rsid w:val="0012120C"/>
    <w:rsid w:val="001220A6"/>
    <w:rsid w:val="00122AE6"/>
    <w:rsid w:val="00123338"/>
    <w:rsid w:val="00123BA0"/>
    <w:rsid w:val="0012554F"/>
    <w:rsid w:val="00125DD9"/>
    <w:rsid w:val="001262DA"/>
    <w:rsid w:val="00126900"/>
    <w:rsid w:val="00127FD4"/>
    <w:rsid w:val="0013063B"/>
    <w:rsid w:val="00131015"/>
    <w:rsid w:val="00132061"/>
    <w:rsid w:val="00132BAC"/>
    <w:rsid w:val="0013352B"/>
    <w:rsid w:val="00134871"/>
    <w:rsid w:val="001356D9"/>
    <w:rsid w:val="001375BD"/>
    <w:rsid w:val="00137C21"/>
    <w:rsid w:val="0014292C"/>
    <w:rsid w:val="00143A9C"/>
    <w:rsid w:val="00143F83"/>
    <w:rsid w:val="0014503C"/>
    <w:rsid w:val="001472B9"/>
    <w:rsid w:val="00147ABD"/>
    <w:rsid w:val="00147D2C"/>
    <w:rsid w:val="001520BF"/>
    <w:rsid w:val="00152475"/>
    <w:rsid w:val="00153748"/>
    <w:rsid w:val="00154A4E"/>
    <w:rsid w:val="00154DF0"/>
    <w:rsid w:val="001613E4"/>
    <w:rsid w:val="001633B5"/>
    <w:rsid w:val="001706E1"/>
    <w:rsid w:val="00171125"/>
    <w:rsid w:val="001721B3"/>
    <w:rsid w:val="00172831"/>
    <w:rsid w:val="001732A3"/>
    <w:rsid w:val="0017334E"/>
    <w:rsid w:val="00173E07"/>
    <w:rsid w:val="00176EE8"/>
    <w:rsid w:val="001777FD"/>
    <w:rsid w:val="00177A4D"/>
    <w:rsid w:val="001813AC"/>
    <w:rsid w:val="00181459"/>
    <w:rsid w:val="001816C7"/>
    <w:rsid w:val="00182531"/>
    <w:rsid w:val="00182EAD"/>
    <w:rsid w:val="00184010"/>
    <w:rsid w:val="00184092"/>
    <w:rsid w:val="001845BE"/>
    <w:rsid w:val="0018477D"/>
    <w:rsid w:val="00185338"/>
    <w:rsid w:val="001870CA"/>
    <w:rsid w:val="00190F6D"/>
    <w:rsid w:val="00192CB8"/>
    <w:rsid w:val="00195AD5"/>
    <w:rsid w:val="00197F25"/>
    <w:rsid w:val="001A07F3"/>
    <w:rsid w:val="001A1FC4"/>
    <w:rsid w:val="001A286D"/>
    <w:rsid w:val="001A4328"/>
    <w:rsid w:val="001A680F"/>
    <w:rsid w:val="001B1574"/>
    <w:rsid w:val="001B22A2"/>
    <w:rsid w:val="001B585C"/>
    <w:rsid w:val="001C2273"/>
    <w:rsid w:val="001C2C36"/>
    <w:rsid w:val="001C4DB7"/>
    <w:rsid w:val="001C4F7B"/>
    <w:rsid w:val="001C6804"/>
    <w:rsid w:val="001C72B4"/>
    <w:rsid w:val="001C754D"/>
    <w:rsid w:val="001C7BE3"/>
    <w:rsid w:val="001D0222"/>
    <w:rsid w:val="001D5048"/>
    <w:rsid w:val="001D537E"/>
    <w:rsid w:val="001D75D7"/>
    <w:rsid w:val="001E09DC"/>
    <w:rsid w:val="001E0C5A"/>
    <w:rsid w:val="001E18E9"/>
    <w:rsid w:val="001E40AF"/>
    <w:rsid w:val="001E43FF"/>
    <w:rsid w:val="001E48A0"/>
    <w:rsid w:val="001E5FF0"/>
    <w:rsid w:val="001E7D12"/>
    <w:rsid w:val="001F0D44"/>
    <w:rsid w:val="001F226A"/>
    <w:rsid w:val="001F4FF1"/>
    <w:rsid w:val="001F5FC6"/>
    <w:rsid w:val="001F66D7"/>
    <w:rsid w:val="001F7637"/>
    <w:rsid w:val="001F7A3B"/>
    <w:rsid w:val="002001BB"/>
    <w:rsid w:val="00200CAF"/>
    <w:rsid w:val="00202CE8"/>
    <w:rsid w:val="00203A47"/>
    <w:rsid w:val="00205033"/>
    <w:rsid w:val="00207B9A"/>
    <w:rsid w:val="00211780"/>
    <w:rsid w:val="002128B8"/>
    <w:rsid w:val="00213DF6"/>
    <w:rsid w:val="002177E0"/>
    <w:rsid w:val="00217C8B"/>
    <w:rsid w:val="0022185D"/>
    <w:rsid w:val="0022331A"/>
    <w:rsid w:val="00223FD5"/>
    <w:rsid w:val="0022453A"/>
    <w:rsid w:val="00225A1D"/>
    <w:rsid w:val="00226DE9"/>
    <w:rsid w:val="00227B6E"/>
    <w:rsid w:val="00227CA1"/>
    <w:rsid w:val="00231307"/>
    <w:rsid w:val="00232B74"/>
    <w:rsid w:val="00232FBF"/>
    <w:rsid w:val="00233B4D"/>
    <w:rsid w:val="002351F8"/>
    <w:rsid w:val="00235579"/>
    <w:rsid w:val="00235BB0"/>
    <w:rsid w:val="00236A8E"/>
    <w:rsid w:val="00237789"/>
    <w:rsid w:val="00240A0C"/>
    <w:rsid w:val="00240C3E"/>
    <w:rsid w:val="00242B6A"/>
    <w:rsid w:val="002438D7"/>
    <w:rsid w:val="00245D9A"/>
    <w:rsid w:val="0024603E"/>
    <w:rsid w:val="00247F98"/>
    <w:rsid w:val="00251378"/>
    <w:rsid w:val="00251605"/>
    <w:rsid w:val="00254921"/>
    <w:rsid w:val="00254CB0"/>
    <w:rsid w:val="002566A9"/>
    <w:rsid w:val="002605B5"/>
    <w:rsid w:val="00260E56"/>
    <w:rsid w:val="002628A1"/>
    <w:rsid w:val="0026561F"/>
    <w:rsid w:val="00266BB2"/>
    <w:rsid w:val="00271BE8"/>
    <w:rsid w:val="0027207B"/>
    <w:rsid w:val="002737DC"/>
    <w:rsid w:val="00276716"/>
    <w:rsid w:val="00277A76"/>
    <w:rsid w:val="00277ED8"/>
    <w:rsid w:val="0028029B"/>
    <w:rsid w:val="002808AC"/>
    <w:rsid w:val="00280AB3"/>
    <w:rsid w:val="0028202D"/>
    <w:rsid w:val="00283261"/>
    <w:rsid w:val="002836EA"/>
    <w:rsid w:val="00287DB9"/>
    <w:rsid w:val="00295C9E"/>
    <w:rsid w:val="00296825"/>
    <w:rsid w:val="00297D1E"/>
    <w:rsid w:val="00297F12"/>
    <w:rsid w:val="002A0332"/>
    <w:rsid w:val="002A084F"/>
    <w:rsid w:val="002A0E58"/>
    <w:rsid w:val="002A1E94"/>
    <w:rsid w:val="002A3E61"/>
    <w:rsid w:val="002A4302"/>
    <w:rsid w:val="002A4A59"/>
    <w:rsid w:val="002A4F00"/>
    <w:rsid w:val="002A5D94"/>
    <w:rsid w:val="002A7328"/>
    <w:rsid w:val="002B0147"/>
    <w:rsid w:val="002B1688"/>
    <w:rsid w:val="002B1A6A"/>
    <w:rsid w:val="002B1E3C"/>
    <w:rsid w:val="002B3B2A"/>
    <w:rsid w:val="002B3B7A"/>
    <w:rsid w:val="002B3D4C"/>
    <w:rsid w:val="002B49A2"/>
    <w:rsid w:val="002B4BA6"/>
    <w:rsid w:val="002B5474"/>
    <w:rsid w:val="002B5DB3"/>
    <w:rsid w:val="002B5FF8"/>
    <w:rsid w:val="002B71EF"/>
    <w:rsid w:val="002C0137"/>
    <w:rsid w:val="002C026F"/>
    <w:rsid w:val="002C0415"/>
    <w:rsid w:val="002C60E3"/>
    <w:rsid w:val="002D42C1"/>
    <w:rsid w:val="002D6CC1"/>
    <w:rsid w:val="002D6FE2"/>
    <w:rsid w:val="002D78E1"/>
    <w:rsid w:val="002E098A"/>
    <w:rsid w:val="002E0B88"/>
    <w:rsid w:val="002E36D0"/>
    <w:rsid w:val="002E38DE"/>
    <w:rsid w:val="002E4094"/>
    <w:rsid w:val="002E4691"/>
    <w:rsid w:val="002E496A"/>
    <w:rsid w:val="002E4DA1"/>
    <w:rsid w:val="002E58E6"/>
    <w:rsid w:val="002E594F"/>
    <w:rsid w:val="002E5AB4"/>
    <w:rsid w:val="002E5C55"/>
    <w:rsid w:val="002E6556"/>
    <w:rsid w:val="002F031B"/>
    <w:rsid w:val="002F0F4A"/>
    <w:rsid w:val="002F1FF1"/>
    <w:rsid w:val="002F3A69"/>
    <w:rsid w:val="002F580F"/>
    <w:rsid w:val="002F6798"/>
    <w:rsid w:val="002F7A6E"/>
    <w:rsid w:val="003009E9"/>
    <w:rsid w:val="00300B35"/>
    <w:rsid w:val="00301680"/>
    <w:rsid w:val="00301D45"/>
    <w:rsid w:val="003026B9"/>
    <w:rsid w:val="00306AAD"/>
    <w:rsid w:val="00307268"/>
    <w:rsid w:val="003106C4"/>
    <w:rsid w:val="003133D4"/>
    <w:rsid w:val="00313E82"/>
    <w:rsid w:val="003142F6"/>
    <w:rsid w:val="00314A9C"/>
    <w:rsid w:val="00316466"/>
    <w:rsid w:val="00317D05"/>
    <w:rsid w:val="00320E71"/>
    <w:rsid w:val="00320F8C"/>
    <w:rsid w:val="00321B9A"/>
    <w:rsid w:val="00321C63"/>
    <w:rsid w:val="003255F8"/>
    <w:rsid w:val="00326085"/>
    <w:rsid w:val="003261DD"/>
    <w:rsid w:val="003300D9"/>
    <w:rsid w:val="00330B3C"/>
    <w:rsid w:val="00332C9B"/>
    <w:rsid w:val="0033436B"/>
    <w:rsid w:val="00336870"/>
    <w:rsid w:val="00340C19"/>
    <w:rsid w:val="003448C4"/>
    <w:rsid w:val="00344ACF"/>
    <w:rsid w:val="00345426"/>
    <w:rsid w:val="00345C5F"/>
    <w:rsid w:val="00346DA2"/>
    <w:rsid w:val="00350EFB"/>
    <w:rsid w:val="003530A6"/>
    <w:rsid w:val="0035330D"/>
    <w:rsid w:val="0035436F"/>
    <w:rsid w:val="00354935"/>
    <w:rsid w:val="00354E50"/>
    <w:rsid w:val="00356BE2"/>
    <w:rsid w:val="00356E37"/>
    <w:rsid w:val="00357740"/>
    <w:rsid w:val="0036329C"/>
    <w:rsid w:val="0036357D"/>
    <w:rsid w:val="00363868"/>
    <w:rsid w:val="00363FB8"/>
    <w:rsid w:val="003648E3"/>
    <w:rsid w:val="00364AD0"/>
    <w:rsid w:val="00365AD1"/>
    <w:rsid w:val="00370E69"/>
    <w:rsid w:val="00371D7D"/>
    <w:rsid w:val="0037262A"/>
    <w:rsid w:val="003729C7"/>
    <w:rsid w:val="003734A3"/>
    <w:rsid w:val="00373EFD"/>
    <w:rsid w:val="0037407C"/>
    <w:rsid w:val="00374925"/>
    <w:rsid w:val="00374E60"/>
    <w:rsid w:val="0037523C"/>
    <w:rsid w:val="00380065"/>
    <w:rsid w:val="003805A5"/>
    <w:rsid w:val="003813C9"/>
    <w:rsid w:val="003817D4"/>
    <w:rsid w:val="00383532"/>
    <w:rsid w:val="00383B00"/>
    <w:rsid w:val="00384012"/>
    <w:rsid w:val="00385699"/>
    <w:rsid w:val="00385EFF"/>
    <w:rsid w:val="003905E7"/>
    <w:rsid w:val="00393135"/>
    <w:rsid w:val="00393DFC"/>
    <w:rsid w:val="003940B9"/>
    <w:rsid w:val="00394AAA"/>
    <w:rsid w:val="00394D4E"/>
    <w:rsid w:val="003953EA"/>
    <w:rsid w:val="003A023E"/>
    <w:rsid w:val="003A1340"/>
    <w:rsid w:val="003A13EF"/>
    <w:rsid w:val="003A183F"/>
    <w:rsid w:val="003A3BE0"/>
    <w:rsid w:val="003A5A0C"/>
    <w:rsid w:val="003A6855"/>
    <w:rsid w:val="003A753F"/>
    <w:rsid w:val="003A7B50"/>
    <w:rsid w:val="003A7B78"/>
    <w:rsid w:val="003B05A1"/>
    <w:rsid w:val="003B0F4F"/>
    <w:rsid w:val="003B1314"/>
    <w:rsid w:val="003B2D9A"/>
    <w:rsid w:val="003B746C"/>
    <w:rsid w:val="003B778B"/>
    <w:rsid w:val="003C0D77"/>
    <w:rsid w:val="003C20BC"/>
    <w:rsid w:val="003C31BA"/>
    <w:rsid w:val="003C330B"/>
    <w:rsid w:val="003C3C18"/>
    <w:rsid w:val="003C4112"/>
    <w:rsid w:val="003C6165"/>
    <w:rsid w:val="003D5930"/>
    <w:rsid w:val="003D5A33"/>
    <w:rsid w:val="003D7C8F"/>
    <w:rsid w:val="003E00EB"/>
    <w:rsid w:val="003E0422"/>
    <w:rsid w:val="003E07D6"/>
    <w:rsid w:val="003E3AAC"/>
    <w:rsid w:val="003E4EFC"/>
    <w:rsid w:val="003E7DC4"/>
    <w:rsid w:val="003E7E03"/>
    <w:rsid w:val="003F01EA"/>
    <w:rsid w:val="003F06CF"/>
    <w:rsid w:val="003F0A65"/>
    <w:rsid w:val="003F14CA"/>
    <w:rsid w:val="003F2281"/>
    <w:rsid w:val="003F543B"/>
    <w:rsid w:val="003F5A1A"/>
    <w:rsid w:val="003F5A5E"/>
    <w:rsid w:val="003F75C5"/>
    <w:rsid w:val="004040E2"/>
    <w:rsid w:val="004052BA"/>
    <w:rsid w:val="004058AF"/>
    <w:rsid w:val="004059B4"/>
    <w:rsid w:val="00405B0E"/>
    <w:rsid w:val="00406231"/>
    <w:rsid w:val="00406814"/>
    <w:rsid w:val="0040699F"/>
    <w:rsid w:val="00407838"/>
    <w:rsid w:val="00407AAB"/>
    <w:rsid w:val="00410767"/>
    <w:rsid w:val="00410930"/>
    <w:rsid w:val="004118F3"/>
    <w:rsid w:val="00411FFB"/>
    <w:rsid w:val="004130E5"/>
    <w:rsid w:val="004131A9"/>
    <w:rsid w:val="004152A2"/>
    <w:rsid w:val="00417AAD"/>
    <w:rsid w:val="00421FAB"/>
    <w:rsid w:val="00423D42"/>
    <w:rsid w:val="00423D64"/>
    <w:rsid w:val="00425D79"/>
    <w:rsid w:val="00425FB1"/>
    <w:rsid w:val="00426F4F"/>
    <w:rsid w:val="00427E2F"/>
    <w:rsid w:val="0043031C"/>
    <w:rsid w:val="00430597"/>
    <w:rsid w:val="00430BDF"/>
    <w:rsid w:val="00431FAC"/>
    <w:rsid w:val="0043279D"/>
    <w:rsid w:val="0043405F"/>
    <w:rsid w:val="004346E2"/>
    <w:rsid w:val="00434B4E"/>
    <w:rsid w:val="004361A7"/>
    <w:rsid w:val="004363C3"/>
    <w:rsid w:val="00436F88"/>
    <w:rsid w:val="004416E2"/>
    <w:rsid w:val="00442B74"/>
    <w:rsid w:val="00443BAE"/>
    <w:rsid w:val="0044422F"/>
    <w:rsid w:val="004446E5"/>
    <w:rsid w:val="004460B2"/>
    <w:rsid w:val="00447B99"/>
    <w:rsid w:val="0045043E"/>
    <w:rsid w:val="00450591"/>
    <w:rsid w:val="00450C2F"/>
    <w:rsid w:val="00451320"/>
    <w:rsid w:val="00451FD4"/>
    <w:rsid w:val="00453115"/>
    <w:rsid w:val="00453855"/>
    <w:rsid w:val="00455BB0"/>
    <w:rsid w:val="00455DBE"/>
    <w:rsid w:val="00456D9B"/>
    <w:rsid w:val="004611C9"/>
    <w:rsid w:val="00461C82"/>
    <w:rsid w:val="00461EED"/>
    <w:rsid w:val="00462FC3"/>
    <w:rsid w:val="0046384B"/>
    <w:rsid w:val="004660C1"/>
    <w:rsid w:val="00466E9C"/>
    <w:rsid w:val="00467D62"/>
    <w:rsid w:val="00470D79"/>
    <w:rsid w:val="00472007"/>
    <w:rsid w:val="004723DB"/>
    <w:rsid w:val="00472CDF"/>
    <w:rsid w:val="00473F4F"/>
    <w:rsid w:val="004744E4"/>
    <w:rsid w:val="00475016"/>
    <w:rsid w:val="004761FB"/>
    <w:rsid w:val="00476F0B"/>
    <w:rsid w:val="00477929"/>
    <w:rsid w:val="00480B9B"/>
    <w:rsid w:val="00481F85"/>
    <w:rsid w:val="00481F90"/>
    <w:rsid w:val="00483755"/>
    <w:rsid w:val="00484A4C"/>
    <w:rsid w:val="004858A2"/>
    <w:rsid w:val="004859FB"/>
    <w:rsid w:val="00485EFD"/>
    <w:rsid w:val="00487D60"/>
    <w:rsid w:val="00490AD1"/>
    <w:rsid w:val="00492F8E"/>
    <w:rsid w:val="0049348D"/>
    <w:rsid w:val="00494D8B"/>
    <w:rsid w:val="004968E3"/>
    <w:rsid w:val="00496C30"/>
    <w:rsid w:val="004A1C50"/>
    <w:rsid w:val="004A2BA5"/>
    <w:rsid w:val="004A34BF"/>
    <w:rsid w:val="004A48CA"/>
    <w:rsid w:val="004A533B"/>
    <w:rsid w:val="004A671B"/>
    <w:rsid w:val="004A67DA"/>
    <w:rsid w:val="004A7D5A"/>
    <w:rsid w:val="004A7D6C"/>
    <w:rsid w:val="004B0790"/>
    <w:rsid w:val="004B1D9E"/>
    <w:rsid w:val="004B200E"/>
    <w:rsid w:val="004B54BA"/>
    <w:rsid w:val="004B5847"/>
    <w:rsid w:val="004B694D"/>
    <w:rsid w:val="004C2C29"/>
    <w:rsid w:val="004C3FD1"/>
    <w:rsid w:val="004C4CF5"/>
    <w:rsid w:val="004C4EA7"/>
    <w:rsid w:val="004C6B4B"/>
    <w:rsid w:val="004D02D0"/>
    <w:rsid w:val="004D224F"/>
    <w:rsid w:val="004D41B3"/>
    <w:rsid w:val="004D5767"/>
    <w:rsid w:val="004D5EFE"/>
    <w:rsid w:val="004D64DD"/>
    <w:rsid w:val="004D6D66"/>
    <w:rsid w:val="004E244A"/>
    <w:rsid w:val="004E4F3C"/>
    <w:rsid w:val="004E5281"/>
    <w:rsid w:val="004E5DCE"/>
    <w:rsid w:val="004E6B4B"/>
    <w:rsid w:val="004E6D9E"/>
    <w:rsid w:val="004E6FD9"/>
    <w:rsid w:val="004E7536"/>
    <w:rsid w:val="004E7CCB"/>
    <w:rsid w:val="004E7EFA"/>
    <w:rsid w:val="004F2F89"/>
    <w:rsid w:val="004F5A05"/>
    <w:rsid w:val="004F6B6D"/>
    <w:rsid w:val="00501157"/>
    <w:rsid w:val="0050232A"/>
    <w:rsid w:val="00502F6D"/>
    <w:rsid w:val="005043B5"/>
    <w:rsid w:val="00505FC0"/>
    <w:rsid w:val="00511969"/>
    <w:rsid w:val="00512851"/>
    <w:rsid w:val="00512890"/>
    <w:rsid w:val="00514273"/>
    <w:rsid w:val="00520237"/>
    <w:rsid w:val="00520B32"/>
    <w:rsid w:val="00520B7E"/>
    <w:rsid w:val="00520F0F"/>
    <w:rsid w:val="005217B2"/>
    <w:rsid w:val="005222CB"/>
    <w:rsid w:val="0052275A"/>
    <w:rsid w:val="00523F85"/>
    <w:rsid w:val="0052519A"/>
    <w:rsid w:val="0052596E"/>
    <w:rsid w:val="00526E1F"/>
    <w:rsid w:val="00530664"/>
    <w:rsid w:val="00531873"/>
    <w:rsid w:val="00532777"/>
    <w:rsid w:val="00532EA8"/>
    <w:rsid w:val="00533316"/>
    <w:rsid w:val="00534AE1"/>
    <w:rsid w:val="00535A4C"/>
    <w:rsid w:val="00537B91"/>
    <w:rsid w:val="00540AB5"/>
    <w:rsid w:val="00541348"/>
    <w:rsid w:val="0054181B"/>
    <w:rsid w:val="005440C7"/>
    <w:rsid w:val="00545CE8"/>
    <w:rsid w:val="00545DF0"/>
    <w:rsid w:val="00546A83"/>
    <w:rsid w:val="00546F70"/>
    <w:rsid w:val="0055732F"/>
    <w:rsid w:val="005575A4"/>
    <w:rsid w:val="005601D6"/>
    <w:rsid w:val="00561136"/>
    <w:rsid w:val="00561AD7"/>
    <w:rsid w:val="00562114"/>
    <w:rsid w:val="005623C8"/>
    <w:rsid w:val="00564BAB"/>
    <w:rsid w:val="0056713B"/>
    <w:rsid w:val="0057088A"/>
    <w:rsid w:val="005712D7"/>
    <w:rsid w:val="00572177"/>
    <w:rsid w:val="00572C69"/>
    <w:rsid w:val="0057510C"/>
    <w:rsid w:val="00576C57"/>
    <w:rsid w:val="00577E80"/>
    <w:rsid w:val="005813FB"/>
    <w:rsid w:val="0058189C"/>
    <w:rsid w:val="00582150"/>
    <w:rsid w:val="00590AEB"/>
    <w:rsid w:val="00591EBE"/>
    <w:rsid w:val="00592C30"/>
    <w:rsid w:val="00592F29"/>
    <w:rsid w:val="0059332E"/>
    <w:rsid w:val="00593AC6"/>
    <w:rsid w:val="0059455F"/>
    <w:rsid w:val="00596FD3"/>
    <w:rsid w:val="005A0ABA"/>
    <w:rsid w:val="005A2A5E"/>
    <w:rsid w:val="005A43F3"/>
    <w:rsid w:val="005A5A96"/>
    <w:rsid w:val="005A77E6"/>
    <w:rsid w:val="005B1CEC"/>
    <w:rsid w:val="005B3488"/>
    <w:rsid w:val="005B38BF"/>
    <w:rsid w:val="005B5481"/>
    <w:rsid w:val="005C130A"/>
    <w:rsid w:val="005C2BEB"/>
    <w:rsid w:val="005C2E66"/>
    <w:rsid w:val="005C31F0"/>
    <w:rsid w:val="005C60D4"/>
    <w:rsid w:val="005C7352"/>
    <w:rsid w:val="005C79A2"/>
    <w:rsid w:val="005E07AE"/>
    <w:rsid w:val="005E1163"/>
    <w:rsid w:val="005E20C3"/>
    <w:rsid w:val="005E2AE8"/>
    <w:rsid w:val="005E36B9"/>
    <w:rsid w:val="005E56A5"/>
    <w:rsid w:val="005E6A2D"/>
    <w:rsid w:val="005F07EE"/>
    <w:rsid w:val="005F0F5C"/>
    <w:rsid w:val="005F2DFE"/>
    <w:rsid w:val="005F7D97"/>
    <w:rsid w:val="00600E1E"/>
    <w:rsid w:val="00604129"/>
    <w:rsid w:val="00606FCF"/>
    <w:rsid w:val="006073C8"/>
    <w:rsid w:val="00607628"/>
    <w:rsid w:val="00617738"/>
    <w:rsid w:val="00620D21"/>
    <w:rsid w:val="00622B96"/>
    <w:rsid w:val="00623E91"/>
    <w:rsid w:val="00625DDF"/>
    <w:rsid w:val="006266BD"/>
    <w:rsid w:val="006269B7"/>
    <w:rsid w:val="00626DAE"/>
    <w:rsid w:val="00627F9E"/>
    <w:rsid w:val="00630335"/>
    <w:rsid w:val="0063117C"/>
    <w:rsid w:val="006317D1"/>
    <w:rsid w:val="00631D84"/>
    <w:rsid w:val="0063247C"/>
    <w:rsid w:val="00633968"/>
    <w:rsid w:val="0063458D"/>
    <w:rsid w:val="006349A0"/>
    <w:rsid w:val="006357A0"/>
    <w:rsid w:val="006372FD"/>
    <w:rsid w:val="00637A9C"/>
    <w:rsid w:val="00637F74"/>
    <w:rsid w:val="00640E67"/>
    <w:rsid w:val="006414AD"/>
    <w:rsid w:val="00642FE5"/>
    <w:rsid w:val="00644F35"/>
    <w:rsid w:val="0065125E"/>
    <w:rsid w:val="0065237B"/>
    <w:rsid w:val="006543B2"/>
    <w:rsid w:val="00654C08"/>
    <w:rsid w:val="00656E47"/>
    <w:rsid w:val="00656E59"/>
    <w:rsid w:val="006649E7"/>
    <w:rsid w:val="006653EA"/>
    <w:rsid w:val="0066645C"/>
    <w:rsid w:val="0066699E"/>
    <w:rsid w:val="00666E3B"/>
    <w:rsid w:val="00667A85"/>
    <w:rsid w:val="006726CF"/>
    <w:rsid w:val="00672E5F"/>
    <w:rsid w:val="00674401"/>
    <w:rsid w:val="00675214"/>
    <w:rsid w:val="006759D7"/>
    <w:rsid w:val="006779C4"/>
    <w:rsid w:val="00681BF7"/>
    <w:rsid w:val="00683D83"/>
    <w:rsid w:val="00685B89"/>
    <w:rsid w:val="006863A7"/>
    <w:rsid w:val="00691A1A"/>
    <w:rsid w:val="00691FEB"/>
    <w:rsid w:val="00692092"/>
    <w:rsid w:val="00692B44"/>
    <w:rsid w:val="006941BF"/>
    <w:rsid w:val="00694C61"/>
    <w:rsid w:val="006959EC"/>
    <w:rsid w:val="006A1140"/>
    <w:rsid w:val="006A1B5B"/>
    <w:rsid w:val="006A45AD"/>
    <w:rsid w:val="006A4A5E"/>
    <w:rsid w:val="006A4FF6"/>
    <w:rsid w:val="006A6DEF"/>
    <w:rsid w:val="006B1211"/>
    <w:rsid w:val="006B176B"/>
    <w:rsid w:val="006B1D3C"/>
    <w:rsid w:val="006B2DB3"/>
    <w:rsid w:val="006B3313"/>
    <w:rsid w:val="006B3E24"/>
    <w:rsid w:val="006B5ACC"/>
    <w:rsid w:val="006B6F4B"/>
    <w:rsid w:val="006B7AE1"/>
    <w:rsid w:val="006B7E7B"/>
    <w:rsid w:val="006C02E7"/>
    <w:rsid w:val="006C062D"/>
    <w:rsid w:val="006C1F47"/>
    <w:rsid w:val="006C39E7"/>
    <w:rsid w:val="006C3A1B"/>
    <w:rsid w:val="006D0322"/>
    <w:rsid w:val="006D1861"/>
    <w:rsid w:val="006D354B"/>
    <w:rsid w:val="006D39BC"/>
    <w:rsid w:val="006D5773"/>
    <w:rsid w:val="006D5CE6"/>
    <w:rsid w:val="006D5E9E"/>
    <w:rsid w:val="006D7067"/>
    <w:rsid w:val="006D7748"/>
    <w:rsid w:val="006E0652"/>
    <w:rsid w:val="006E142F"/>
    <w:rsid w:val="006E1C94"/>
    <w:rsid w:val="006E25AB"/>
    <w:rsid w:val="006E51CB"/>
    <w:rsid w:val="006E6F68"/>
    <w:rsid w:val="006F0D01"/>
    <w:rsid w:val="006F0FD9"/>
    <w:rsid w:val="006F20D7"/>
    <w:rsid w:val="006F395C"/>
    <w:rsid w:val="00703EC5"/>
    <w:rsid w:val="00710EBD"/>
    <w:rsid w:val="00711EA4"/>
    <w:rsid w:val="00712617"/>
    <w:rsid w:val="00713E03"/>
    <w:rsid w:val="007160BD"/>
    <w:rsid w:val="007163EA"/>
    <w:rsid w:val="00717CF2"/>
    <w:rsid w:val="00717F0B"/>
    <w:rsid w:val="00721EEE"/>
    <w:rsid w:val="00724DC8"/>
    <w:rsid w:val="00730183"/>
    <w:rsid w:val="00731D68"/>
    <w:rsid w:val="00732069"/>
    <w:rsid w:val="00735D31"/>
    <w:rsid w:val="007368B4"/>
    <w:rsid w:val="00736987"/>
    <w:rsid w:val="0073707F"/>
    <w:rsid w:val="007378F0"/>
    <w:rsid w:val="007402AE"/>
    <w:rsid w:val="007437D0"/>
    <w:rsid w:val="00747638"/>
    <w:rsid w:val="00750B3F"/>
    <w:rsid w:val="00751692"/>
    <w:rsid w:val="00752B08"/>
    <w:rsid w:val="00752D92"/>
    <w:rsid w:val="007547FD"/>
    <w:rsid w:val="0075498B"/>
    <w:rsid w:val="00757743"/>
    <w:rsid w:val="00760258"/>
    <w:rsid w:val="007602A7"/>
    <w:rsid w:val="007619CB"/>
    <w:rsid w:val="00762FB6"/>
    <w:rsid w:val="00763AF8"/>
    <w:rsid w:val="00764238"/>
    <w:rsid w:val="00764BFE"/>
    <w:rsid w:val="0076590D"/>
    <w:rsid w:val="00766841"/>
    <w:rsid w:val="00767A62"/>
    <w:rsid w:val="00770A6C"/>
    <w:rsid w:val="007729E8"/>
    <w:rsid w:val="00772BAF"/>
    <w:rsid w:val="0077470C"/>
    <w:rsid w:val="00774FE3"/>
    <w:rsid w:val="007764F9"/>
    <w:rsid w:val="007769E0"/>
    <w:rsid w:val="00777534"/>
    <w:rsid w:val="00783190"/>
    <w:rsid w:val="00783EB3"/>
    <w:rsid w:val="007848C3"/>
    <w:rsid w:val="0078570E"/>
    <w:rsid w:val="007859E3"/>
    <w:rsid w:val="00786103"/>
    <w:rsid w:val="00786D8F"/>
    <w:rsid w:val="007872C9"/>
    <w:rsid w:val="00787B3D"/>
    <w:rsid w:val="00787C69"/>
    <w:rsid w:val="00795F49"/>
    <w:rsid w:val="007964CD"/>
    <w:rsid w:val="00796676"/>
    <w:rsid w:val="00797C0F"/>
    <w:rsid w:val="00797C9E"/>
    <w:rsid w:val="00797D05"/>
    <w:rsid w:val="00797D48"/>
    <w:rsid w:val="007A177B"/>
    <w:rsid w:val="007A1A15"/>
    <w:rsid w:val="007A1DA9"/>
    <w:rsid w:val="007A2104"/>
    <w:rsid w:val="007A3132"/>
    <w:rsid w:val="007B2892"/>
    <w:rsid w:val="007B4BDA"/>
    <w:rsid w:val="007B6147"/>
    <w:rsid w:val="007B6295"/>
    <w:rsid w:val="007B7D4D"/>
    <w:rsid w:val="007B7F22"/>
    <w:rsid w:val="007C0200"/>
    <w:rsid w:val="007C7955"/>
    <w:rsid w:val="007C7F39"/>
    <w:rsid w:val="007D1805"/>
    <w:rsid w:val="007D2597"/>
    <w:rsid w:val="007D3109"/>
    <w:rsid w:val="007D41BB"/>
    <w:rsid w:val="007D50DB"/>
    <w:rsid w:val="007E03FA"/>
    <w:rsid w:val="007E1B6E"/>
    <w:rsid w:val="007E2D09"/>
    <w:rsid w:val="007E3CF4"/>
    <w:rsid w:val="007E56B6"/>
    <w:rsid w:val="007E6148"/>
    <w:rsid w:val="007E6886"/>
    <w:rsid w:val="007E6EC2"/>
    <w:rsid w:val="007F0CFB"/>
    <w:rsid w:val="007F1F92"/>
    <w:rsid w:val="007F305F"/>
    <w:rsid w:val="007F35C6"/>
    <w:rsid w:val="007F4C70"/>
    <w:rsid w:val="007F6B2C"/>
    <w:rsid w:val="007F7255"/>
    <w:rsid w:val="00800438"/>
    <w:rsid w:val="00801992"/>
    <w:rsid w:val="00801E1E"/>
    <w:rsid w:val="00802469"/>
    <w:rsid w:val="008048CC"/>
    <w:rsid w:val="008050B0"/>
    <w:rsid w:val="00807609"/>
    <w:rsid w:val="0081489A"/>
    <w:rsid w:val="00814DCA"/>
    <w:rsid w:val="0081795B"/>
    <w:rsid w:val="00820287"/>
    <w:rsid w:val="008236DF"/>
    <w:rsid w:val="00824718"/>
    <w:rsid w:val="008248B3"/>
    <w:rsid w:val="00824C72"/>
    <w:rsid w:val="00825CCB"/>
    <w:rsid w:val="00830D77"/>
    <w:rsid w:val="00831522"/>
    <w:rsid w:val="00834985"/>
    <w:rsid w:val="00835651"/>
    <w:rsid w:val="008356AE"/>
    <w:rsid w:val="00835D64"/>
    <w:rsid w:val="008464BD"/>
    <w:rsid w:val="008471A1"/>
    <w:rsid w:val="00847AF9"/>
    <w:rsid w:val="00850D2D"/>
    <w:rsid w:val="00851435"/>
    <w:rsid w:val="008545FC"/>
    <w:rsid w:val="00855740"/>
    <w:rsid w:val="0085780C"/>
    <w:rsid w:val="00862522"/>
    <w:rsid w:val="00863F82"/>
    <w:rsid w:val="00864D04"/>
    <w:rsid w:val="00865EAB"/>
    <w:rsid w:val="0086787F"/>
    <w:rsid w:val="008715B6"/>
    <w:rsid w:val="00871B22"/>
    <w:rsid w:val="00872540"/>
    <w:rsid w:val="008727BF"/>
    <w:rsid w:val="00872BBF"/>
    <w:rsid w:val="00873CD6"/>
    <w:rsid w:val="0087484B"/>
    <w:rsid w:val="00876969"/>
    <w:rsid w:val="00877251"/>
    <w:rsid w:val="00877556"/>
    <w:rsid w:val="00884F4E"/>
    <w:rsid w:val="008852DC"/>
    <w:rsid w:val="00890819"/>
    <w:rsid w:val="00891190"/>
    <w:rsid w:val="00894A9F"/>
    <w:rsid w:val="008970B4"/>
    <w:rsid w:val="008976A1"/>
    <w:rsid w:val="008A11E4"/>
    <w:rsid w:val="008A14A8"/>
    <w:rsid w:val="008A2A70"/>
    <w:rsid w:val="008A2C6A"/>
    <w:rsid w:val="008A39FB"/>
    <w:rsid w:val="008A5CC4"/>
    <w:rsid w:val="008A653B"/>
    <w:rsid w:val="008A6E23"/>
    <w:rsid w:val="008A7673"/>
    <w:rsid w:val="008B05CB"/>
    <w:rsid w:val="008B141A"/>
    <w:rsid w:val="008B3877"/>
    <w:rsid w:val="008B3889"/>
    <w:rsid w:val="008B487E"/>
    <w:rsid w:val="008B4E84"/>
    <w:rsid w:val="008B5502"/>
    <w:rsid w:val="008B6292"/>
    <w:rsid w:val="008B6861"/>
    <w:rsid w:val="008B695A"/>
    <w:rsid w:val="008B6CB7"/>
    <w:rsid w:val="008B6F62"/>
    <w:rsid w:val="008B75F1"/>
    <w:rsid w:val="008C26D2"/>
    <w:rsid w:val="008C29C2"/>
    <w:rsid w:val="008C52DA"/>
    <w:rsid w:val="008C55EA"/>
    <w:rsid w:val="008C6547"/>
    <w:rsid w:val="008C6AC0"/>
    <w:rsid w:val="008C6AD6"/>
    <w:rsid w:val="008D156C"/>
    <w:rsid w:val="008D1956"/>
    <w:rsid w:val="008D6A5F"/>
    <w:rsid w:val="008E0B03"/>
    <w:rsid w:val="008E0F1F"/>
    <w:rsid w:val="008E2228"/>
    <w:rsid w:val="008E3F9A"/>
    <w:rsid w:val="008E428D"/>
    <w:rsid w:val="008E4977"/>
    <w:rsid w:val="008E58A7"/>
    <w:rsid w:val="008E5C31"/>
    <w:rsid w:val="008F13FF"/>
    <w:rsid w:val="008F5389"/>
    <w:rsid w:val="008F5EA7"/>
    <w:rsid w:val="0090320B"/>
    <w:rsid w:val="009033D7"/>
    <w:rsid w:val="00904A94"/>
    <w:rsid w:val="00906689"/>
    <w:rsid w:val="009112DC"/>
    <w:rsid w:val="00912498"/>
    <w:rsid w:val="00912B8E"/>
    <w:rsid w:val="009133C1"/>
    <w:rsid w:val="00914301"/>
    <w:rsid w:val="009167F8"/>
    <w:rsid w:val="00917C28"/>
    <w:rsid w:val="00921169"/>
    <w:rsid w:val="0092160C"/>
    <w:rsid w:val="00921AEB"/>
    <w:rsid w:val="00922A2C"/>
    <w:rsid w:val="0092318A"/>
    <w:rsid w:val="00923814"/>
    <w:rsid w:val="009262A9"/>
    <w:rsid w:val="00930C53"/>
    <w:rsid w:val="009310C6"/>
    <w:rsid w:val="00931485"/>
    <w:rsid w:val="00933A38"/>
    <w:rsid w:val="00934A9C"/>
    <w:rsid w:val="00934CCB"/>
    <w:rsid w:val="00935457"/>
    <w:rsid w:val="0093765C"/>
    <w:rsid w:val="00940085"/>
    <w:rsid w:val="0094032D"/>
    <w:rsid w:val="00940540"/>
    <w:rsid w:val="0094091A"/>
    <w:rsid w:val="009409BB"/>
    <w:rsid w:val="009420C8"/>
    <w:rsid w:val="00943472"/>
    <w:rsid w:val="00943A57"/>
    <w:rsid w:val="00944F5B"/>
    <w:rsid w:val="00945FF3"/>
    <w:rsid w:val="009474FF"/>
    <w:rsid w:val="00947D08"/>
    <w:rsid w:val="00950AD5"/>
    <w:rsid w:val="00950CA6"/>
    <w:rsid w:val="0095181A"/>
    <w:rsid w:val="0095335E"/>
    <w:rsid w:val="00955C66"/>
    <w:rsid w:val="00957A05"/>
    <w:rsid w:val="00962A1A"/>
    <w:rsid w:val="00964892"/>
    <w:rsid w:val="00966A00"/>
    <w:rsid w:val="00970618"/>
    <w:rsid w:val="00970791"/>
    <w:rsid w:val="00971198"/>
    <w:rsid w:val="00974031"/>
    <w:rsid w:val="0097425B"/>
    <w:rsid w:val="0097619B"/>
    <w:rsid w:val="009779AA"/>
    <w:rsid w:val="009811D5"/>
    <w:rsid w:val="00981D10"/>
    <w:rsid w:val="00985166"/>
    <w:rsid w:val="00986408"/>
    <w:rsid w:val="00986C80"/>
    <w:rsid w:val="0099049E"/>
    <w:rsid w:val="00990F99"/>
    <w:rsid w:val="00991491"/>
    <w:rsid w:val="0099231F"/>
    <w:rsid w:val="009926AD"/>
    <w:rsid w:val="00992920"/>
    <w:rsid w:val="00992B4C"/>
    <w:rsid w:val="009936EE"/>
    <w:rsid w:val="0099463D"/>
    <w:rsid w:val="00995552"/>
    <w:rsid w:val="0099574B"/>
    <w:rsid w:val="00996175"/>
    <w:rsid w:val="00997438"/>
    <w:rsid w:val="0099754B"/>
    <w:rsid w:val="009A2541"/>
    <w:rsid w:val="009A289E"/>
    <w:rsid w:val="009A2DEB"/>
    <w:rsid w:val="009A43BF"/>
    <w:rsid w:val="009A4BF1"/>
    <w:rsid w:val="009B0185"/>
    <w:rsid w:val="009B0AC6"/>
    <w:rsid w:val="009B113D"/>
    <w:rsid w:val="009B1B80"/>
    <w:rsid w:val="009B541C"/>
    <w:rsid w:val="009B59C6"/>
    <w:rsid w:val="009B72B9"/>
    <w:rsid w:val="009C0FF9"/>
    <w:rsid w:val="009C10D2"/>
    <w:rsid w:val="009C1EF7"/>
    <w:rsid w:val="009C23F1"/>
    <w:rsid w:val="009C2859"/>
    <w:rsid w:val="009C48C0"/>
    <w:rsid w:val="009C567C"/>
    <w:rsid w:val="009D0CD2"/>
    <w:rsid w:val="009D5880"/>
    <w:rsid w:val="009D5BF9"/>
    <w:rsid w:val="009D5ED5"/>
    <w:rsid w:val="009D6B8E"/>
    <w:rsid w:val="009D6FFC"/>
    <w:rsid w:val="009E7CA9"/>
    <w:rsid w:val="009F10BB"/>
    <w:rsid w:val="009F1792"/>
    <w:rsid w:val="009F2281"/>
    <w:rsid w:val="009F2852"/>
    <w:rsid w:val="009F7389"/>
    <w:rsid w:val="009F764A"/>
    <w:rsid w:val="00A048C7"/>
    <w:rsid w:val="00A04CC5"/>
    <w:rsid w:val="00A05FB8"/>
    <w:rsid w:val="00A06B08"/>
    <w:rsid w:val="00A07306"/>
    <w:rsid w:val="00A07881"/>
    <w:rsid w:val="00A13C2B"/>
    <w:rsid w:val="00A16ECD"/>
    <w:rsid w:val="00A21561"/>
    <w:rsid w:val="00A21587"/>
    <w:rsid w:val="00A22010"/>
    <w:rsid w:val="00A235F1"/>
    <w:rsid w:val="00A24182"/>
    <w:rsid w:val="00A24AF3"/>
    <w:rsid w:val="00A25384"/>
    <w:rsid w:val="00A270E3"/>
    <w:rsid w:val="00A274EE"/>
    <w:rsid w:val="00A31AE3"/>
    <w:rsid w:val="00A34049"/>
    <w:rsid w:val="00A37E77"/>
    <w:rsid w:val="00A406BD"/>
    <w:rsid w:val="00A41BEC"/>
    <w:rsid w:val="00A44C08"/>
    <w:rsid w:val="00A4563C"/>
    <w:rsid w:val="00A461FA"/>
    <w:rsid w:val="00A5135C"/>
    <w:rsid w:val="00A51B0C"/>
    <w:rsid w:val="00A52778"/>
    <w:rsid w:val="00A53DAF"/>
    <w:rsid w:val="00A54054"/>
    <w:rsid w:val="00A6097A"/>
    <w:rsid w:val="00A60BA1"/>
    <w:rsid w:val="00A613C7"/>
    <w:rsid w:val="00A61BB8"/>
    <w:rsid w:val="00A61C76"/>
    <w:rsid w:val="00A62440"/>
    <w:rsid w:val="00A62C25"/>
    <w:rsid w:val="00A6369D"/>
    <w:rsid w:val="00A6401B"/>
    <w:rsid w:val="00A65AB4"/>
    <w:rsid w:val="00A66465"/>
    <w:rsid w:val="00A66711"/>
    <w:rsid w:val="00A67FF1"/>
    <w:rsid w:val="00A72194"/>
    <w:rsid w:val="00A72200"/>
    <w:rsid w:val="00A7293C"/>
    <w:rsid w:val="00A73146"/>
    <w:rsid w:val="00A73F4C"/>
    <w:rsid w:val="00A73F67"/>
    <w:rsid w:val="00A76C84"/>
    <w:rsid w:val="00A770F8"/>
    <w:rsid w:val="00A7726A"/>
    <w:rsid w:val="00A80936"/>
    <w:rsid w:val="00A82A8C"/>
    <w:rsid w:val="00A84C49"/>
    <w:rsid w:val="00A853B5"/>
    <w:rsid w:val="00A8551B"/>
    <w:rsid w:val="00A87CEC"/>
    <w:rsid w:val="00A9014A"/>
    <w:rsid w:val="00A93500"/>
    <w:rsid w:val="00A93A19"/>
    <w:rsid w:val="00A93F6C"/>
    <w:rsid w:val="00A9498A"/>
    <w:rsid w:val="00A94A19"/>
    <w:rsid w:val="00A95B19"/>
    <w:rsid w:val="00AA123D"/>
    <w:rsid w:val="00AA1745"/>
    <w:rsid w:val="00AA1D58"/>
    <w:rsid w:val="00AA21A2"/>
    <w:rsid w:val="00AA2BB6"/>
    <w:rsid w:val="00AA5EEA"/>
    <w:rsid w:val="00AB2171"/>
    <w:rsid w:val="00AB2C41"/>
    <w:rsid w:val="00AB4131"/>
    <w:rsid w:val="00AB626C"/>
    <w:rsid w:val="00AB6632"/>
    <w:rsid w:val="00AC0F09"/>
    <w:rsid w:val="00AC283B"/>
    <w:rsid w:val="00AC2C3A"/>
    <w:rsid w:val="00AC5074"/>
    <w:rsid w:val="00AC7C10"/>
    <w:rsid w:val="00AD0996"/>
    <w:rsid w:val="00AD1B6D"/>
    <w:rsid w:val="00AD5F88"/>
    <w:rsid w:val="00AD64FE"/>
    <w:rsid w:val="00AD665A"/>
    <w:rsid w:val="00AD66D6"/>
    <w:rsid w:val="00AD6B26"/>
    <w:rsid w:val="00AD7C2D"/>
    <w:rsid w:val="00AD7FD9"/>
    <w:rsid w:val="00AE026F"/>
    <w:rsid w:val="00AE064A"/>
    <w:rsid w:val="00AE4087"/>
    <w:rsid w:val="00AE43C5"/>
    <w:rsid w:val="00AE7CF4"/>
    <w:rsid w:val="00AF073F"/>
    <w:rsid w:val="00AF0DBF"/>
    <w:rsid w:val="00AF0FD7"/>
    <w:rsid w:val="00AF221C"/>
    <w:rsid w:val="00AF496E"/>
    <w:rsid w:val="00AF5032"/>
    <w:rsid w:val="00B00D9D"/>
    <w:rsid w:val="00B04D27"/>
    <w:rsid w:val="00B070C2"/>
    <w:rsid w:val="00B07EE0"/>
    <w:rsid w:val="00B1006C"/>
    <w:rsid w:val="00B10D1C"/>
    <w:rsid w:val="00B12782"/>
    <w:rsid w:val="00B13509"/>
    <w:rsid w:val="00B16EE3"/>
    <w:rsid w:val="00B17F1A"/>
    <w:rsid w:val="00B21BD9"/>
    <w:rsid w:val="00B22C8B"/>
    <w:rsid w:val="00B24007"/>
    <w:rsid w:val="00B24BA3"/>
    <w:rsid w:val="00B24D96"/>
    <w:rsid w:val="00B26749"/>
    <w:rsid w:val="00B26B32"/>
    <w:rsid w:val="00B26EC8"/>
    <w:rsid w:val="00B275CA"/>
    <w:rsid w:val="00B302A7"/>
    <w:rsid w:val="00B30E9F"/>
    <w:rsid w:val="00B312D5"/>
    <w:rsid w:val="00B328A0"/>
    <w:rsid w:val="00B3290E"/>
    <w:rsid w:val="00B32DFB"/>
    <w:rsid w:val="00B337D3"/>
    <w:rsid w:val="00B34917"/>
    <w:rsid w:val="00B36501"/>
    <w:rsid w:val="00B40000"/>
    <w:rsid w:val="00B40CE4"/>
    <w:rsid w:val="00B5445A"/>
    <w:rsid w:val="00B548DB"/>
    <w:rsid w:val="00B55C88"/>
    <w:rsid w:val="00B55E93"/>
    <w:rsid w:val="00B56F51"/>
    <w:rsid w:val="00B62466"/>
    <w:rsid w:val="00B640BF"/>
    <w:rsid w:val="00B64E40"/>
    <w:rsid w:val="00B65C42"/>
    <w:rsid w:val="00B668C0"/>
    <w:rsid w:val="00B676CF"/>
    <w:rsid w:val="00B67BC3"/>
    <w:rsid w:val="00B71261"/>
    <w:rsid w:val="00B7170E"/>
    <w:rsid w:val="00B71D29"/>
    <w:rsid w:val="00B75B0B"/>
    <w:rsid w:val="00B77F6C"/>
    <w:rsid w:val="00B811B5"/>
    <w:rsid w:val="00B85436"/>
    <w:rsid w:val="00B904C8"/>
    <w:rsid w:val="00B9205E"/>
    <w:rsid w:val="00B92BE2"/>
    <w:rsid w:val="00B92F8B"/>
    <w:rsid w:val="00B9512D"/>
    <w:rsid w:val="00BA1426"/>
    <w:rsid w:val="00BA742A"/>
    <w:rsid w:val="00BA750A"/>
    <w:rsid w:val="00BB1A2E"/>
    <w:rsid w:val="00BB2B48"/>
    <w:rsid w:val="00BB430C"/>
    <w:rsid w:val="00BB7AD5"/>
    <w:rsid w:val="00BC15FF"/>
    <w:rsid w:val="00BC3A3D"/>
    <w:rsid w:val="00BC5674"/>
    <w:rsid w:val="00BD1551"/>
    <w:rsid w:val="00BD2176"/>
    <w:rsid w:val="00BD3139"/>
    <w:rsid w:val="00BD5A25"/>
    <w:rsid w:val="00BD5AC6"/>
    <w:rsid w:val="00BD5ADC"/>
    <w:rsid w:val="00BD5B64"/>
    <w:rsid w:val="00BD7FB9"/>
    <w:rsid w:val="00BE264C"/>
    <w:rsid w:val="00BE2809"/>
    <w:rsid w:val="00BE32ED"/>
    <w:rsid w:val="00BE4095"/>
    <w:rsid w:val="00BE49CF"/>
    <w:rsid w:val="00BE52F7"/>
    <w:rsid w:val="00BF1431"/>
    <w:rsid w:val="00BF18CB"/>
    <w:rsid w:val="00BF2655"/>
    <w:rsid w:val="00BF2A66"/>
    <w:rsid w:val="00BF3A63"/>
    <w:rsid w:val="00BF3C78"/>
    <w:rsid w:val="00BF5664"/>
    <w:rsid w:val="00BF6F84"/>
    <w:rsid w:val="00C00A8F"/>
    <w:rsid w:val="00C01991"/>
    <w:rsid w:val="00C03DF9"/>
    <w:rsid w:val="00C05222"/>
    <w:rsid w:val="00C06909"/>
    <w:rsid w:val="00C07D23"/>
    <w:rsid w:val="00C1103E"/>
    <w:rsid w:val="00C14795"/>
    <w:rsid w:val="00C15DAE"/>
    <w:rsid w:val="00C172BD"/>
    <w:rsid w:val="00C2057A"/>
    <w:rsid w:val="00C222E0"/>
    <w:rsid w:val="00C252C1"/>
    <w:rsid w:val="00C253B7"/>
    <w:rsid w:val="00C25791"/>
    <w:rsid w:val="00C2690B"/>
    <w:rsid w:val="00C26AAD"/>
    <w:rsid w:val="00C26C77"/>
    <w:rsid w:val="00C270F2"/>
    <w:rsid w:val="00C27D7B"/>
    <w:rsid w:val="00C332FD"/>
    <w:rsid w:val="00C33E95"/>
    <w:rsid w:val="00C375E4"/>
    <w:rsid w:val="00C40AEA"/>
    <w:rsid w:val="00C41319"/>
    <w:rsid w:val="00C42692"/>
    <w:rsid w:val="00C429BC"/>
    <w:rsid w:val="00C4307D"/>
    <w:rsid w:val="00C43F81"/>
    <w:rsid w:val="00C45A78"/>
    <w:rsid w:val="00C46192"/>
    <w:rsid w:val="00C50104"/>
    <w:rsid w:val="00C507A4"/>
    <w:rsid w:val="00C50DE3"/>
    <w:rsid w:val="00C51AA0"/>
    <w:rsid w:val="00C53237"/>
    <w:rsid w:val="00C53B46"/>
    <w:rsid w:val="00C5459B"/>
    <w:rsid w:val="00C556E4"/>
    <w:rsid w:val="00C573D0"/>
    <w:rsid w:val="00C60802"/>
    <w:rsid w:val="00C60F54"/>
    <w:rsid w:val="00C615E1"/>
    <w:rsid w:val="00C61923"/>
    <w:rsid w:val="00C61BF3"/>
    <w:rsid w:val="00C64E9C"/>
    <w:rsid w:val="00C67D24"/>
    <w:rsid w:val="00C72AE6"/>
    <w:rsid w:val="00C73416"/>
    <w:rsid w:val="00C742C8"/>
    <w:rsid w:val="00C757D2"/>
    <w:rsid w:val="00C75B5C"/>
    <w:rsid w:val="00C771F0"/>
    <w:rsid w:val="00C802E9"/>
    <w:rsid w:val="00C8086F"/>
    <w:rsid w:val="00C80B55"/>
    <w:rsid w:val="00C8288B"/>
    <w:rsid w:val="00C82C19"/>
    <w:rsid w:val="00C855A3"/>
    <w:rsid w:val="00C878AC"/>
    <w:rsid w:val="00C92473"/>
    <w:rsid w:val="00C9320D"/>
    <w:rsid w:val="00C94F93"/>
    <w:rsid w:val="00C95EE8"/>
    <w:rsid w:val="00C967CC"/>
    <w:rsid w:val="00C96D0F"/>
    <w:rsid w:val="00C96EC3"/>
    <w:rsid w:val="00CA3514"/>
    <w:rsid w:val="00CA38A6"/>
    <w:rsid w:val="00CA3D71"/>
    <w:rsid w:val="00CA55FF"/>
    <w:rsid w:val="00CA6FCC"/>
    <w:rsid w:val="00CB0582"/>
    <w:rsid w:val="00CB0F8C"/>
    <w:rsid w:val="00CB272A"/>
    <w:rsid w:val="00CB2C38"/>
    <w:rsid w:val="00CB2E8E"/>
    <w:rsid w:val="00CB38E1"/>
    <w:rsid w:val="00CB5342"/>
    <w:rsid w:val="00CB562F"/>
    <w:rsid w:val="00CB5C00"/>
    <w:rsid w:val="00CB6A36"/>
    <w:rsid w:val="00CB6DA8"/>
    <w:rsid w:val="00CB72E3"/>
    <w:rsid w:val="00CC02CC"/>
    <w:rsid w:val="00CC1E4B"/>
    <w:rsid w:val="00CC33C5"/>
    <w:rsid w:val="00CC3E3B"/>
    <w:rsid w:val="00CC40B9"/>
    <w:rsid w:val="00CC499A"/>
    <w:rsid w:val="00CC6123"/>
    <w:rsid w:val="00CC6630"/>
    <w:rsid w:val="00CC68EE"/>
    <w:rsid w:val="00CC7518"/>
    <w:rsid w:val="00CC78B4"/>
    <w:rsid w:val="00CD16A2"/>
    <w:rsid w:val="00CD20FC"/>
    <w:rsid w:val="00CD31C1"/>
    <w:rsid w:val="00CD50C5"/>
    <w:rsid w:val="00CD5EB8"/>
    <w:rsid w:val="00CE2FAD"/>
    <w:rsid w:val="00CE3A2F"/>
    <w:rsid w:val="00CE4AED"/>
    <w:rsid w:val="00CE4E8A"/>
    <w:rsid w:val="00CE567B"/>
    <w:rsid w:val="00CE6829"/>
    <w:rsid w:val="00CE765B"/>
    <w:rsid w:val="00CF046E"/>
    <w:rsid w:val="00CF19E1"/>
    <w:rsid w:val="00CF3FB0"/>
    <w:rsid w:val="00CF79EC"/>
    <w:rsid w:val="00D02259"/>
    <w:rsid w:val="00D05C97"/>
    <w:rsid w:val="00D1017D"/>
    <w:rsid w:val="00D102AF"/>
    <w:rsid w:val="00D1076D"/>
    <w:rsid w:val="00D13ABF"/>
    <w:rsid w:val="00D14C44"/>
    <w:rsid w:val="00D17B42"/>
    <w:rsid w:val="00D17C99"/>
    <w:rsid w:val="00D22A8D"/>
    <w:rsid w:val="00D31CE5"/>
    <w:rsid w:val="00D32010"/>
    <w:rsid w:val="00D322F3"/>
    <w:rsid w:val="00D34F05"/>
    <w:rsid w:val="00D352F3"/>
    <w:rsid w:val="00D37462"/>
    <w:rsid w:val="00D37BA3"/>
    <w:rsid w:val="00D406BA"/>
    <w:rsid w:val="00D41A69"/>
    <w:rsid w:val="00D42863"/>
    <w:rsid w:val="00D45AD9"/>
    <w:rsid w:val="00D45DB8"/>
    <w:rsid w:val="00D46E9A"/>
    <w:rsid w:val="00D47E43"/>
    <w:rsid w:val="00D47E96"/>
    <w:rsid w:val="00D50094"/>
    <w:rsid w:val="00D53D19"/>
    <w:rsid w:val="00D54344"/>
    <w:rsid w:val="00D5500C"/>
    <w:rsid w:val="00D57A72"/>
    <w:rsid w:val="00D653D3"/>
    <w:rsid w:val="00D656CC"/>
    <w:rsid w:val="00D70963"/>
    <w:rsid w:val="00D726B4"/>
    <w:rsid w:val="00D7274D"/>
    <w:rsid w:val="00D741D9"/>
    <w:rsid w:val="00D746A0"/>
    <w:rsid w:val="00D752D0"/>
    <w:rsid w:val="00D76862"/>
    <w:rsid w:val="00D7750E"/>
    <w:rsid w:val="00D80C05"/>
    <w:rsid w:val="00D81AAB"/>
    <w:rsid w:val="00D8297C"/>
    <w:rsid w:val="00D848DA"/>
    <w:rsid w:val="00D87C83"/>
    <w:rsid w:val="00D918AC"/>
    <w:rsid w:val="00D91F6A"/>
    <w:rsid w:val="00D92185"/>
    <w:rsid w:val="00D93794"/>
    <w:rsid w:val="00D94644"/>
    <w:rsid w:val="00D94931"/>
    <w:rsid w:val="00D95450"/>
    <w:rsid w:val="00D95460"/>
    <w:rsid w:val="00DA05FB"/>
    <w:rsid w:val="00DA0670"/>
    <w:rsid w:val="00DA0D50"/>
    <w:rsid w:val="00DA23C9"/>
    <w:rsid w:val="00DA2B7C"/>
    <w:rsid w:val="00DA38A7"/>
    <w:rsid w:val="00DA5FA8"/>
    <w:rsid w:val="00DA6094"/>
    <w:rsid w:val="00DA6D40"/>
    <w:rsid w:val="00DA70A5"/>
    <w:rsid w:val="00DB2D41"/>
    <w:rsid w:val="00DB52B5"/>
    <w:rsid w:val="00DB7BCD"/>
    <w:rsid w:val="00DC0374"/>
    <w:rsid w:val="00DC08D5"/>
    <w:rsid w:val="00DC204C"/>
    <w:rsid w:val="00DC2271"/>
    <w:rsid w:val="00DC380C"/>
    <w:rsid w:val="00DC4684"/>
    <w:rsid w:val="00DC5DCF"/>
    <w:rsid w:val="00DC5E44"/>
    <w:rsid w:val="00DC66B7"/>
    <w:rsid w:val="00DC6DC2"/>
    <w:rsid w:val="00DC7B6D"/>
    <w:rsid w:val="00DD01FF"/>
    <w:rsid w:val="00DD0267"/>
    <w:rsid w:val="00DD0426"/>
    <w:rsid w:val="00DD2862"/>
    <w:rsid w:val="00DD4AB8"/>
    <w:rsid w:val="00DD4CF9"/>
    <w:rsid w:val="00DD5529"/>
    <w:rsid w:val="00DD57F6"/>
    <w:rsid w:val="00DD5929"/>
    <w:rsid w:val="00DD717B"/>
    <w:rsid w:val="00DD7480"/>
    <w:rsid w:val="00DD7C55"/>
    <w:rsid w:val="00DE07D4"/>
    <w:rsid w:val="00DE0C1F"/>
    <w:rsid w:val="00DE1ED4"/>
    <w:rsid w:val="00DE24E0"/>
    <w:rsid w:val="00DE51E7"/>
    <w:rsid w:val="00DE557E"/>
    <w:rsid w:val="00DE625D"/>
    <w:rsid w:val="00DE6C1A"/>
    <w:rsid w:val="00DE7232"/>
    <w:rsid w:val="00DE77A9"/>
    <w:rsid w:val="00DF0747"/>
    <w:rsid w:val="00DF1D94"/>
    <w:rsid w:val="00DF278C"/>
    <w:rsid w:val="00DF3EDD"/>
    <w:rsid w:val="00DF530F"/>
    <w:rsid w:val="00DF7074"/>
    <w:rsid w:val="00E0035B"/>
    <w:rsid w:val="00E01D4D"/>
    <w:rsid w:val="00E01F3E"/>
    <w:rsid w:val="00E026BD"/>
    <w:rsid w:val="00E02E25"/>
    <w:rsid w:val="00E05D37"/>
    <w:rsid w:val="00E062A7"/>
    <w:rsid w:val="00E06C5A"/>
    <w:rsid w:val="00E06CF1"/>
    <w:rsid w:val="00E077AF"/>
    <w:rsid w:val="00E1205E"/>
    <w:rsid w:val="00E152F6"/>
    <w:rsid w:val="00E1630C"/>
    <w:rsid w:val="00E170AA"/>
    <w:rsid w:val="00E17CA9"/>
    <w:rsid w:val="00E21828"/>
    <w:rsid w:val="00E21CEE"/>
    <w:rsid w:val="00E21F95"/>
    <w:rsid w:val="00E232E1"/>
    <w:rsid w:val="00E32914"/>
    <w:rsid w:val="00E3379E"/>
    <w:rsid w:val="00E41030"/>
    <w:rsid w:val="00E42535"/>
    <w:rsid w:val="00E4267A"/>
    <w:rsid w:val="00E42FEC"/>
    <w:rsid w:val="00E45889"/>
    <w:rsid w:val="00E458C4"/>
    <w:rsid w:val="00E528B9"/>
    <w:rsid w:val="00E53F87"/>
    <w:rsid w:val="00E5419A"/>
    <w:rsid w:val="00E543F2"/>
    <w:rsid w:val="00E5584D"/>
    <w:rsid w:val="00E5691B"/>
    <w:rsid w:val="00E602FB"/>
    <w:rsid w:val="00E62326"/>
    <w:rsid w:val="00E6398D"/>
    <w:rsid w:val="00E63AA4"/>
    <w:rsid w:val="00E640C0"/>
    <w:rsid w:val="00E667C9"/>
    <w:rsid w:val="00E67939"/>
    <w:rsid w:val="00E715AE"/>
    <w:rsid w:val="00E72720"/>
    <w:rsid w:val="00E734F5"/>
    <w:rsid w:val="00E73DEA"/>
    <w:rsid w:val="00E74E46"/>
    <w:rsid w:val="00E75562"/>
    <w:rsid w:val="00E76B52"/>
    <w:rsid w:val="00E7731B"/>
    <w:rsid w:val="00E8061F"/>
    <w:rsid w:val="00E8314A"/>
    <w:rsid w:val="00E846FF"/>
    <w:rsid w:val="00E85916"/>
    <w:rsid w:val="00E85D46"/>
    <w:rsid w:val="00E90AD8"/>
    <w:rsid w:val="00E90F72"/>
    <w:rsid w:val="00E90FBD"/>
    <w:rsid w:val="00E913A5"/>
    <w:rsid w:val="00E91552"/>
    <w:rsid w:val="00E9428A"/>
    <w:rsid w:val="00E94617"/>
    <w:rsid w:val="00E94E81"/>
    <w:rsid w:val="00E94EB4"/>
    <w:rsid w:val="00E95420"/>
    <w:rsid w:val="00E97B91"/>
    <w:rsid w:val="00EA1400"/>
    <w:rsid w:val="00EA3100"/>
    <w:rsid w:val="00EA3579"/>
    <w:rsid w:val="00EA4379"/>
    <w:rsid w:val="00EA44E8"/>
    <w:rsid w:val="00EA4C1C"/>
    <w:rsid w:val="00EA4D57"/>
    <w:rsid w:val="00EA5E7C"/>
    <w:rsid w:val="00EA7A07"/>
    <w:rsid w:val="00EB1695"/>
    <w:rsid w:val="00EB381D"/>
    <w:rsid w:val="00EB4030"/>
    <w:rsid w:val="00EB415C"/>
    <w:rsid w:val="00EB430F"/>
    <w:rsid w:val="00EB5AD5"/>
    <w:rsid w:val="00EB630F"/>
    <w:rsid w:val="00EC187F"/>
    <w:rsid w:val="00EC1916"/>
    <w:rsid w:val="00EC2191"/>
    <w:rsid w:val="00EC2413"/>
    <w:rsid w:val="00EC263F"/>
    <w:rsid w:val="00ED14F1"/>
    <w:rsid w:val="00ED2D3C"/>
    <w:rsid w:val="00ED55EA"/>
    <w:rsid w:val="00ED6779"/>
    <w:rsid w:val="00ED7506"/>
    <w:rsid w:val="00EE3683"/>
    <w:rsid w:val="00EE3BAE"/>
    <w:rsid w:val="00EE3F6F"/>
    <w:rsid w:val="00EE43FE"/>
    <w:rsid w:val="00EE76C3"/>
    <w:rsid w:val="00EE77C5"/>
    <w:rsid w:val="00EF2BBA"/>
    <w:rsid w:val="00F00A5F"/>
    <w:rsid w:val="00F00E5E"/>
    <w:rsid w:val="00F0217F"/>
    <w:rsid w:val="00F023A9"/>
    <w:rsid w:val="00F03FA8"/>
    <w:rsid w:val="00F041DB"/>
    <w:rsid w:val="00F0466B"/>
    <w:rsid w:val="00F06E47"/>
    <w:rsid w:val="00F1071B"/>
    <w:rsid w:val="00F11F72"/>
    <w:rsid w:val="00F17296"/>
    <w:rsid w:val="00F21DFE"/>
    <w:rsid w:val="00F22A41"/>
    <w:rsid w:val="00F22F44"/>
    <w:rsid w:val="00F23A2B"/>
    <w:rsid w:val="00F23C8E"/>
    <w:rsid w:val="00F241D2"/>
    <w:rsid w:val="00F2516C"/>
    <w:rsid w:val="00F25F79"/>
    <w:rsid w:val="00F265B2"/>
    <w:rsid w:val="00F27080"/>
    <w:rsid w:val="00F274AA"/>
    <w:rsid w:val="00F31D09"/>
    <w:rsid w:val="00F336A9"/>
    <w:rsid w:val="00F343CD"/>
    <w:rsid w:val="00F34AA7"/>
    <w:rsid w:val="00F41FAB"/>
    <w:rsid w:val="00F424C5"/>
    <w:rsid w:val="00F42DF6"/>
    <w:rsid w:val="00F433EC"/>
    <w:rsid w:val="00F43BD4"/>
    <w:rsid w:val="00F440D7"/>
    <w:rsid w:val="00F4586E"/>
    <w:rsid w:val="00F46A44"/>
    <w:rsid w:val="00F5039F"/>
    <w:rsid w:val="00F5097F"/>
    <w:rsid w:val="00F54692"/>
    <w:rsid w:val="00F55E01"/>
    <w:rsid w:val="00F6034F"/>
    <w:rsid w:val="00F60D84"/>
    <w:rsid w:val="00F61053"/>
    <w:rsid w:val="00F6307D"/>
    <w:rsid w:val="00F65F7E"/>
    <w:rsid w:val="00F6780D"/>
    <w:rsid w:val="00F7091D"/>
    <w:rsid w:val="00F713A5"/>
    <w:rsid w:val="00F722B9"/>
    <w:rsid w:val="00F73742"/>
    <w:rsid w:val="00F75DFC"/>
    <w:rsid w:val="00F75F48"/>
    <w:rsid w:val="00F7676B"/>
    <w:rsid w:val="00F76B64"/>
    <w:rsid w:val="00F77BCF"/>
    <w:rsid w:val="00F82204"/>
    <w:rsid w:val="00F8308A"/>
    <w:rsid w:val="00F8322B"/>
    <w:rsid w:val="00F838D6"/>
    <w:rsid w:val="00F83EC3"/>
    <w:rsid w:val="00F83F15"/>
    <w:rsid w:val="00F85770"/>
    <w:rsid w:val="00F865A8"/>
    <w:rsid w:val="00F86F8E"/>
    <w:rsid w:val="00F872D9"/>
    <w:rsid w:val="00F93A0D"/>
    <w:rsid w:val="00F93B2F"/>
    <w:rsid w:val="00F9484F"/>
    <w:rsid w:val="00F9599B"/>
    <w:rsid w:val="00F967B8"/>
    <w:rsid w:val="00F96DED"/>
    <w:rsid w:val="00F96F0A"/>
    <w:rsid w:val="00FA0074"/>
    <w:rsid w:val="00FA0F55"/>
    <w:rsid w:val="00FA515E"/>
    <w:rsid w:val="00FB131A"/>
    <w:rsid w:val="00FB1836"/>
    <w:rsid w:val="00FB53AD"/>
    <w:rsid w:val="00FB5BDE"/>
    <w:rsid w:val="00FC2A04"/>
    <w:rsid w:val="00FC3C74"/>
    <w:rsid w:val="00FC3E4B"/>
    <w:rsid w:val="00FC4C53"/>
    <w:rsid w:val="00FD10B3"/>
    <w:rsid w:val="00FD2B25"/>
    <w:rsid w:val="00FD2C31"/>
    <w:rsid w:val="00FD2E8C"/>
    <w:rsid w:val="00FD543F"/>
    <w:rsid w:val="00FD5C0E"/>
    <w:rsid w:val="00FE6A2F"/>
    <w:rsid w:val="00FE6BD0"/>
    <w:rsid w:val="00FE7CFB"/>
    <w:rsid w:val="00FF0764"/>
    <w:rsid w:val="00FF299C"/>
    <w:rsid w:val="00FF2C76"/>
    <w:rsid w:val="00FF30E7"/>
    <w:rsid w:val="00FF362B"/>
    <w:rsid w:val="00FF400A"/>
    <w:rsid w:val="00FF4D0E"/>
    <w:rsid w:val="00FF61B2"/>
    <w:rsid w:val="00FF6456"/>
    <w:rsid w:val="00FF68FF"/>
    <w:rsid w:val="0BC05664"/>
    <w:rsid w:val="14E2D6C9"/>
    <w:rsid w:val="1E02BE2A"/>
    <w:rsid w:val="2A381E1E"/>
    <w:rsid w:val="2A5F424D"/>
    <w:rsid w:val="32028D37"/>
    <w:rsid w:val="35D296FE"/>
    <w:rsid w:val="430FB818"/>
    <w:rsid w:val="438F35AB"/>
    <w:rsid w:val="4859A11F"/>
    <w:rsid w:val="4FA4D93B"/>
    <w:rsid w:val="508E71E9"/>
    <w:rsid w:val="6769F5D8"/>
    <w:rsid w:val="6B87E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09E7"/>
  <w15:chartTrackingRefBased/>
  <w15:docId w15:val="{CE1453A7-DD64-F946-BDD5-F771250F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rFonts w:ascii="Arial" w:hAnsi="Arial" w:cs="Arial"/>
      <w:b/>
      <w:bCs/>
      <w:color w:val="000000" w:themeColor="text1"/>
      <w:sz w:val="36"/>
    </w:rPr>
  </w:style>
  <w:style w:type="paragraph" w:customStyle="1" w:styleId="SubheadingSH">
    <w:name w:val="Sub heading SH"/>
    <w:basedOn w:val="Normal"/>
    <w:autoRedefine/>
    <w:qFormat/>
    <w:rsid w:val="003D5A33"/>
    <w:pPr>
      <w:spacing w:before="240" w:line="259" w:lineRule="auto"/>
      <w:ind w:left="1440" w:hanging="1440"/>
    </w:pPr>
    <w:rPr>
      <w:rFonts w:ascii="Arial" w:hAnsi="Arial" w:cs="Arial"/>
      <w:b/>
      <w:bCs/>
      <w:color w:val="1AA4A0"/>
      <w:sz w:val="28"/>
      <w:szCs w:val="21"/>
    </w:rPr>
  </w:style>
  <w:style w:type="paragraph" w:customStyle="1" w:styleId="AbbreviationtableSH">
    <w:name w:val="Abbreviation table SH"/>
    <w:basedOn w:val="BodytextSH"/>
    <w:qFormat/>
    <w:rsid w:val="006D39BC"/>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rFonts w:eastAsia="Times New Roman" w:cs="Times New Roman"/>
      <w:color w:val="000000" w:themeColor="text1"/>
      <w:kern w:val="0"/>
      <w:sz w:val="18"/>
      <w:u w:color="301159"/>
      <w:lang w:eastAsia="en-AU"/>
      <w14:ligatures w14:val="none"/>
    </w:rPr>
  </w:style>
  <w:style w:type="paragraph" w:customStyle="1" w:styleId="TableheaderrowSH">
    <w:name w:val="Table header row SH"/>
    <w:next w:val="Normal"/>
    <w:autoRedefine/>
    <w:qFormat/>
    <w:rsid w:val="00B24007"/>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autoRedefine/>
    <w:qFormat/>
    <w:rsid w:val="006D39BC"/>
    <w:pPr>
      <w:spacing w:before="120" w:after="120"/>
    </w:pPr>
    <w:rPr>
      <w:color w:val="152775"/>
      <w:kern w:val="0"/>
      <w:u w:color="301159"/>
      <w:lang w:val="en-GB"/>
      <w14:ligatures w14:val="none"/>
    </w:rPr>
  </w:style>
  <w:style w:type="paragraph" w:customStyle="1" w:styleId="BodytextSH">
    <w:name w:val="Body text SH"/>
    <w:autoRedefine/>
    <w:qFormat/>
    <w:rsid w:val="00D918AC"/>
    <w:pPr>
      <w:spacing w:before="120" w:after="120" w:line="259" w:lineRule="auto"/>
    </w:pPr>
    <w:rPr>
      <w:rFonts w:ascii="Arial" w:hAnsi="Arial" w:cs="Arial (Body CS)"/>
      <w:sz w:val="22"/>
    </w:rPr>
  </w:style>
  <w:style w:type="paragraph" w:customStyle="1" w:styleId="TabletextSH">
    <w:name w:val="Table text SH"/>
    <w:autoRedefine/>
    <w:qFormat/>
    <w:rsid w:val="003009E9"/>
    <w:pPr>
      <w:spacing w:after="160" w:line="259" w:lineRule="auto"/>
    </w:pPr>
    <w:rPr>
      <w:rFonts w:ascii="Arial" w:hAnsi="Arial"/>
      <w:i/>
      <w:color w:val="000000" w:themeColor="text1"/>
      <w:sz w:val="22"/>
      <w:szCs w:val="21"/>
    </w:rPr>
  </w:style>
  <w:style w:type="paragraph" w:customStyle="1" w:styleId="FigureTextSH">
    <w:name w:val="Figure Text SH"/>
    <w:autoRedefine/>
    <w:qFormat/>
    <w:rsid w:val="003009E9"/>
    <w:pPr>
      <w:spacing w:before="120" w:after="160" w:line="259" w:lineRule="auto"/>
    </w:pPr>
    <w:rPr>
      <w:rFonts w:ascii="Arial" w:hAnsi="Arial"/>
      <w:i/>
      <w:color w:val="000000" w:themeColor="text1"/>
      <w:sz w:val="20"/>
      <w:szCs w:val="21"/>
    </w:rPr>
  </w:style>
  <w:style w:type="paragraph" w:customStyle="1" w:styleId="Bodytext-emhasisSH">
    <w:name w:val="Body text - emhasis SH"/>
    <w:autoRedefine/>
    <w:qFormat/>
    <w:rsid w:val="0063247C"/>
    <w:pPr>
      <w:spacing w:after="160" w:line="259" w:lineRule="auto"/>
    </w:pPr>
    <w:rPr>
      <w:rFonts w:ascii="Arial" w:hAnsi="Arial" w:cs="Arial (Body CS)"/>
      <w:b/>
      <w:bCs/>
      <w:sz w:val="22"/>
    </w:rPr>
  </w:style>
  <w:style w:type="paragraph" w:customStyle="1" w:styleId="Tableheaderrow-small-SH">
    <w:name w:val="Table header row - small - SH"/>
    <w:autoRedefine/>
    <w:qFormat/>
    <w:rsid w:val="00872540"/>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872540"/>
    <w:pPr>
      <w:spacing w:after="160" w:line="259" w:lineRule="auto"/>
    </w:pPr>
    <w:rPr>
      <w:rFonts w:ascii="Arial" w:eastAsia="Times New Roman" w:hAnsi="Arial" w:cs="Arial"/>
      <w:i/>
      <w:color w:val="000000" w:themeColor="text1"/>
      <w:sz w:val="22"/>
      <w:lang w:eastAsia="en-AU"/>
    </w:rPr>
  </w:style>
  <w:style w:type="paragraph" w:customStyle="1" w:styleId="Heading1SH">
    <w:name w:val="Heading 1 SH"/>
    <w:autoRedefine/>
    <w:qFormat/>
    <w:rsid w:val="0056713B"/>
    <w:pPr>
      <w:spacing w:before="240" w:after="180"/>
    </w:pPr>
    <w:rPr>
      <w:rFonts w:ascii="Arial" w:hAnsi="Arial" w:cs="Arial"/>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ascii="Arial" w:hAnsi="Arial" w:cs="Arial (Body CS)"/>
      <w:b/>
      <w:bCs/>
    </w:rPr>
  </w:style>
  <w:style w:type="paragraph" w:customStyle="1" w:styleId="ThirdlevelheadingSH">
    <w:name w:val="Third level heading SH"/>
    <w:basedOn w:val="Normal"/>
    <w:autoRedefine/>
    <w:qFormat/>
    <w:rsid w:val="0066645C"/>
    <w:pPr>
      <w:spacing w:before="240" w:line="259" w:lineRule="auto"/>
    </w:pPr>
    <w:rPr>
      <w:rFonts w:ascii="Arial" w:hAnsi="Arial" w:cs="Arial"/>
      <w:b/>
      <w:bCs/>
      <w:color w:val="152775"/>
      <w:szCs w:val="20"/>
    </w:rPr>
  </w:style>
  <w:style w:type="paragraph" w:customStyle="1" w:styleId="BodytextwhiteSH">
    <w:name w:val="Body text white SH"/>
    <w:basedOn w:val="Normal"/>
    <w:autoRedefine/>
    <w:qFormat/>
    <w:rsid w:val="0066645C"/>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rFonts w:eastAsia="Times New Roman"/>
      <w:kern w:val="0"/>
      <w:sz w:val="16"/>
      <w:szCs w:val="16"/>
      <w14:ligatures w14:val="none"/>
    </w:rPr>
  </w:style>
  <w:style w:type="paragraph" w:customStyle="1" w:styleId="Bulletinatable-SH">
    <w:name w:val="Bullet in a table - SH"/>
    <w:basedOn w:val="Normal"/>
    <w:rsid w:val="006D39BC"/>
    <w:pPr>
      <w:spacing w:after="200" w:line="276" w:lineRule="auto"/>
    </w:pPr>
    <w:rPr>
      <w:rFonts w:ascii="Arial" w:eastAsia="Times New Roman" w:hAnsi="Arial" w:cs="Arial"/>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rFonts w:eastAsia="Times New Roman"/>
      <w:kern w:val="0"/>
      <w:sz w:val="20"/>
      <w:u w:color="301159"/>
      <w:lang w:val="en-GB"/>
      <w14:ligatures w14:val="none"/>
    </w:rPr>
  </w:style>
  <w:style w:type="paragraph" w:customStyle="1" w:styleId="BulletSH">
    <w:name w:val="Bullet SH"/>
    <w:rsid w:val="00545DF0"/>
    <w:pPr>
      <w:numPr>
        <w:numId w:val="3"/>
      </w:numPr>
      <w:spacing w:before="120" w:after="120" w:line="259" w:lineRule="auto"/>
      <w:contextualSpacing/>
    </w:pPr>
    <w:rPr>
      <w:rFonts w:ascii="Arial" w:hAnsi="Arial" w:cs="Arial"/>
      <w:bCs/>
      <w:color w:val="000000" w:themeColor="text1"/>
      <w:kern w:val="0"/>
      <w:sz w:val="22"/>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rFonts w:eastAsia="Times New Roman"/>
      <w:color w:val="000000" w:themeColor="text1"/>
      <w:kern w:val="0"/>
      <w:u w:val="single" w:color="000000" w:themeColor="text1"/>
      <w:lang w:eastAsia="en-AU"/>
      <w14:ligatures w14:val="none"/>
    </w:rPr>
  </w:style>
  <w:style w:type="paragraph" w:customStyle="1" w:styleId="Indicatortableheader-SH">
    <w:name w:val="Indicator table header - SH"/>
    <w:basedOn w:val="Normal"/>
    <w:rsid w:val="00545DF0"/>
    <w:pPr>
      <w:spacing w:before="120" w:after="120" w:line="259" w:lineRule="auto"/>
    </w:pPr>
    <w:rPr>
      <w:rFonts w:ascii="Arial" w:hAnsi="Arial" w:cs="Arial"/>
      <w:b/>
      <w:bCs/>
      <w:color w:val="000000" w:themeColor="text1"/>
      <w:kern w:val="0"/>
      <w:sz w:val="22"/>
      <w14:ligatures w14:val="none"/>
    </w:rPr>
  </w:style>
  <w:style w:type="paragraph" w:customStyle="1" w:styleId="Indicatortablelist-SH">
    <w:name w:val="Indicator table list - SH"/>
    <w:basedOn w:val="BodytextSH"/>
    <w:rsid w:val="00545DF0"/>
    <w:pPr>
      <w:numPr>
        <w:numId w:val="6"/>
      </w:numPr>
      <w:spacing w:line="240" w:lineRule="auto"/>
    </w:pPr>
    <w:rPr>
      <w:rFonts w:eastAsia="Times New Roman"/>
      <w:color w:val="000000" w:themeColor="text1"/>
      <w:kern w:val="0"/>
      <w:lang w:eastAsia="en-AU"/>
      <w14:ligatures w14:val="none"/>
    </w:r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 w:val="22"/>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color w:val="000000" w:themeColor="text1"/>
      <w:kern w:val="0"/>
      <w:sz w:val="22"/>
      <w:szCs w:val="22"/>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rFonts w:ascii="Arial" w:hAnsi="Arial" w:cs="Arial"/>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rFonts w:eastAsia="Times New Roman"/>
      <w:b/>
      <w:color w:val="FF0000"/>
      <w:kern w:val="0"/>
      <w:lang w:eastAsia="en-AU"/>
      <w14:ligatures w14:val="none"/>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ascii="Arial" w:hAnsi="Arial" w:cstheme="minorHAnsi"/>
      <w:iCs/>
      <w:color w:val="000000" w:themeColor="text1"/>
      <w:kern w:val="0"/>
      <w:sz w:val="22"/>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ascii="Arial" w:eastAsia="Wingdings" w:hAnsi="Arial"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sz w:val="22"/>
      <w14:ligatures w14:val="none"/>
    </w:rPr>
  </w:style>
  <w:style w:type="paragraph" w:customStyle="1" w:styleId="AcronymtableSH">
    <w:name w:val="Acronym table SH"/>
    <w:basedOn w:val="BodytextSH"/>
    <w:qFormat/>
    <w:rsid w:val="006D39BC"/>
    <w:pPr>
      <w:spacing w:before="60" w:line="240" w:lineRule="auto"/>
    </w:pPr>
    <w:rPr>
      <w:rFonts w:eastAsia="Times New Roman" w:cs="Times New Roman"/>
      <w:color w:val="000000" w:themeColor="text1"/>
      <w:kern w:val="0"/>
      <w:lang w:eastAsia="en-AU"/>
      <w14:ligatures w14:val="none"/>
    </w:rPr>
  </w:style>
  <w:style w:type="paragraph" w:customStyle="1" w:styleId="BodytextitalicSH">
    <w:name w:val="Body text italic SH"/>
    <w:basedOn w:val="BodytextSH"/>
    <w:qFormat/>
    <w:rsid w:val="006D39BC"/>
    <w:pPr>
      <w:spacing w:line="240" w:lineRule="auto"/>
    </w:pPr>
    <w:rPr>
      <w:rFonts w:eastAsia="Times New Roman" w:cs="Times New Roman"/>
      <w:i/>
      <w:color w:val="000000" w:themeColor="text1"/>
      <w:kern w:val="0"/>
      <w:lang w:eastAsia="en-AU"/>
      <w14:ligatures w14:val="none"/>
    </w:rPr>
  </w:style>
  <w:style w:type="paragraph" w:customStyle="1" w:styleId="Codingtablecentredcontent-SH">
    <w:name w:val="Coding table centred content - SH"/>
    <w:basedOn w:val="Normal"/>
    <w:qFormat/>
    <w:rsid w:val="006D39BC"/>
    <w:pPr>
      <w:jc w:val="center"/>
    </w:pPr>
    <w:rPr>
      <w:rFonts w:ascii="Arial" w:eastAsia="Times New Roman" w:hAnsi="Arial" w:cs="Calibri"/>
      <w:kern w:val="0"/>
      <w:sz w:val="20"/>
      <w:szCs w:val="16"/>
      <w:lang w:eastAsia="en-AU"/>
      <w14:ligatures w14:val="none"/>
    </w:rPr>
  </w:style>
  <w:style w:type="paragraph" w:customStyle="1" w:styleId="Codingtablecontent-SH">
    <w:name w:val="Coding table content - SH"/>
    <w:basedOn w:val="Normal"/>
    <w:qFormat/>
    <w:rsid w:val="006D39BC"/>
    <w:rPr>
      <w:rFonts w:ascii="Arial" w:eastAsia="Times New Roman" w:hAnsi="Arial" w:cs="Calibri"/>
      <w:kern w:val="0"/>
      <w:sz w:val="20"/>
      <w:lang w:eastAsia="en-AU"/>
      <w14:ligatures w14:val="none"/>
    </w:rPr>
  </w:style>
  <w:style w:type="paragraph" w:customStyle="1" w:styleId="Codingtableheader-SH">
    <w:name w:val="Coding table header - SH"/>
    <w:basedOn w:val="Bodytext-emhasisSH"/>
    <w:qFormat/>
    <w:rsid w:val="006D39BC"/>
    <w:pPr>
      <w:snapToGrid w:val="0"/>
      <w:spacing w:before="60" w:after="60" w:line="240" w:lineRule="auto"/>
      <w:jc w:val="center"/>
    </w:pPr>
    <w:rPr>
      <w:color w:val="000000" w:themeColor="text1"/>
      <w:kern w:val="0"/>
      <w:sz w:val="20"/>
      <w:lang w:val="en-US" w:eastAsia="en-AU"/>
      <w14:ligatures w14:val="none"/>
    </w:rPr>
  </w:style>
  <w:style w:type="paragraph" w:customStyle="1" w:styleId="Condensedtextfortable-SH">
    <w:name w:val="Condensed text for table - SH"/>
    <w:basedOn w:val="BodytextSH"/>
    <w:qFormat/>
    <w:rsid w:val="006D39BC"/>
    <w:pPr>
      <w:spacing w:before="60" w:after="60" w:line="240" w:lineRule="auto"/>
    </w:pPr>
    <w:rPr>
      <w:rFonts w:eastAsia="Times New Roman" w:cs="Times New Roman"/>
      <w:color w:val="000000" w:themeColor="text1"/>
      <w:kern w:val="0"/>
      <w:sz w:val="18"/>
      <w:szCs w:val="18"/>
      <w:lang w:eastAsia="en-AU"/>
      <w14:ligatures w14:val="none"/>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ascii="Arial" w:eastAsia="Times New Roman" w:hAnsi="Arial" w:cs="Arial"/>
      <w:b/>
      <w:bCs/>
      <w:color w:val="000000" w:themeColor="text1"/>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ascii="Arial" w:eastAsia="Times New Roman" w:hAnsi="Arial" w:cs="Times New Roman"/>
      <w:color w:val="000000" w:themeColor="text1"/>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rFonts w:eastAsia="Times New Roman" w:cs="Times New Roman"/>
      <w:color w:val="000000" w:themeColor="text1"/>
      <w:kern w:val="0"/>
      <w:sz w:val="21"/>
      <w:szCs w:val="22"/>
      <w:lang w:eastAsia="en-AU"/>
      <w14:ligatures w14:val="none"/>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character" w:styleId="Strong">
    <w:name w:val="Strong"/>
    <w:basedOn w:val="DefaultParagraphFont"/>
    <w:uiPriority w:val="22"/>
    <w:qFormat/>
    <w:rsid w:val="00877556"/>
    <w:rPr>
      <w:b/>
      <w:bCs/>
    </w:rPr>
  </w:style>
  <w:style w:type="paragraph" w:styleId="Revision">
    <w:name w:val="Revision"/>
    <w:hidden/>
    <w:uiPriority w:val="99"/>
    <w:semiHidden/>
    <w:rsid w:val="00E602FB"/>
  </w:style>
  <w:style w:type="character" w:customStyle="1" w:styleId="cf01">
    <w:name w:val="cf01"/>
    <w:basedOn w:val="DefaultParagraphFont"/>
    <w:rsid w:val="00D752D0"/>
    <w:rPr>
      <w:rFonts w:ascii="Segoe UI" w:hAnsi="Segoe UI" w:cs="Segoe UI" w:hint="default"/>
      <w:sz w:val="18"/>
      <w:szCs w:val="18"/>
    </w:rPr>
  </w:style>
  <w:style w:type="character" w:customStyle="1" w:styleId="eop">
    <w:name w:val="eop"/>
    <w:basedOn w:val="DefaultParagraphFont"/>
    <w:rsid w:val="00287DB9"/>
  </w:style>
  <w:style w:type="character" w:styleId="Mention">
    <w:name w:val="Mention"/>
    <w:basedOn w:val="DefaultParagraphFont"/>
    <w:uiPriority w:val="99"/>
    <w:unhideWhenUsed/>
    <w:rsid w:val="00F5097F"/>
    <w:rPr>
      <w:color w:val="2B579A"/>
      <w:shd w:val="clear" w:color="auto" w:fill="E1DFDD"/>
    </w:rPr>
  </w:style>
  <w:style w:type="paragraph" w:styleId="NormalWeb">
    <w:name w:val="Normal (Web)"/>
    <w:basedOn w:val="Normal"/>
    <w:uiPriority w:val="99"/>
    <w:semiHidden/>
    <w:unhideWhenUsed/>
    <w:rsid w:val="00BF3A63"/>
    <w:pPr>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wacimagecontainer">
    <w:name w:val="wacimagecontainer"/>
    <w:basedOn w:val="DefaultParagraphFont"/>
    <w:rsid w:val="00FF68FF"/>
  </w:style>
  <w:style w:type="table" w:styleId="TableGrid">
    <w:name w:val="Table Grid"/>
    <w:basedOn w:val="TableNormal"/>
    <w:uiPriority w:val="39"/>
    <w:rsid w:val="0038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72824">
      <w:bodyDiv w:val="1"/>
      <w:marLeft w:val="0"/>
      <w:marRight w:val="0"/>
      <w:marTop w:val="0"/>
      <w:marBottom w:val="0"/>
      <w:divBdr>
        <w:top w:val="none" w:sz="0" w:space="0" w:color="auto"/>
        <w:left w:val="none" w:sz="0" w:space="0" w:color="auto"/>
        <w:bottom w:val="none" w:sz="0" w:space="0" w:color="auto"/>
        <w:right w:val="none" w:sz="0" w:space="0" w:color="auto"/>
      </w:divBdr>
    </w:div>
    <w:div w:id="607813168">
      <w:bodyDiv w:val="1"/>
      <w:marLeft w:val="0"/>
      <w:marRight w:val="0"/>
      <w:marTop w:val="0"/>
      <w:marBottom w:val="0"/>
      <w:divBdr>
        <w:top w:val="none" w:sz="0" w:space="0" w:color="auto"/>
        <w:left w:val="none" w:sz="0" w:space="0" w:color="auto"/>
        <w:bottom w:val="none" w:sz="0" w:space="0" w:color="auto"/>
        <w:right w:val="none" w:sz="0" w:space="0" w:color="auto"/>
      </w:divBdr>
    </w:div>
    <w:div w:id="1182358114">
      <w:bodyDiv w:val="1"/>
      <w:marLeft w:val="0"/>
      <w:marRight w:val="0"/>
      <w:marTop w:val="0"/>
      <w:marBottom w:val="0"/>
      <w:divBdr>
        <w:top w:val="none" w:sz="0" w:space="0" w:color="auto"/>
        <w:left w:val="none" w:sz="0" w:space="0" w:color="auto"/>
        <w:bottom w:val="none" w:sz="0" w:space="0" w:color="auto"/>
        <w:right w:val="none" w:sz="0" w:space="0" w:color="auto"/>
      </w:divBdr>
    </w:div>
    <w:div w:id="1294991994">
      <w:bodyDiv w:val="1"/>
      <w:marLeft w:val="0"/>
      <w:marRight w:val="0"/>
      <w:marTop w:val="0"/>
      <w:marBottom w:val="0"/>
      <w:divBdr>
        <w:top w:val="none" w:sz="0" w:space="0" w:color="auto"/>
        <w:left w:val="none" w:sz="0" w:space="0" w:color="auto"/>
        <w:bottom w:val="none" w:sz="0" w:space="0" w:color="auto"/>
        <w:right w:val="none" w:sz="0" w:space="0" w:color="auto"/>
      </w:divBdr>
    </w:div>
    <w:div w:id="1529296518">
      <w:bodyDiv w:val="1"/>
      <w:marLeft w:val="0"/>
      <w:marRight w:val="0"/>
      <w:marTop w:val="0"/>
      <w:marBottom w:val="0"/>
      <w:divBdr>
        <w:top w:val="none" w:sz="0" w:space="0" w:color="auto"/>
        <w:left w:val="none" w:sz="0" w:space="0" w:color="auto"/>
        <w:bottom w:val="none" w:sz="0" w:space="0" w:color="auto"/>
        <w:right w:val="none" w:sz="0" w:space="0" w:color="auto"/>
      </w:divBdr>
    </w:div>
    <w:div w:id="1887637355">
      <w:bodyDiv w:val="1"/>
      <w:marLeft w:val="0"/>
      <w:marRight w:val="0"/>
      <w:marTop w:val="0"/>
      <w:marBottom w:val="0"/>
      <w:divBdr>
        <w:top w:val="none" w:sz="0" w:space="0" w:color="auto"/>
        <w:left w:val="none" w:sz="0" w:space="0" w:color="auto"/>
        <w:bottom w:val="none" w:sz="0" w:space="0" w:color="auto"/>
        <w:right w:val="none" w:sz="0" w:space="0" w:color="auto"/>
      </w:divBdr>
    </w:div>
    <w:div w:id="19651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ataportal.health.gov.au/wps/portal/dataportalcontent/usersupport/userhelpihdr/!ut/p/z1/nZHNUoMwFEZfxS66zOTyW1hi6wilWDtaKdl0AqQlDgQKabU-vcE6jhtxNLtvcnLz5QQTvMFE0BPfU8lrQUuVE2JvrSAMwAQ9hGhmguda1sq1AnDCCY4_APhheYDJ8PknTDBpMp7jBAw7ZxpoyN3RDJnM0RAFg6HUNtPMSVOapU5PZ0I2ssBJTiVt6lbS8iqrhWRCjqE7d5JVYzh2rO2OTb99CQUrG17k7WfhgUZk-D1xX2EYSdQVk622nII_N2GxfDQtWMFKv5n5GoCuZpw4e8FrUbeVcvzwRwU-4PlvWtW_6W00jfZqMpUF4mJX4803K5fwZUXx_PlwIJ7S27t8VcD__DbVunKMMxJv13foNr5feKPRO3o3sRg!/dz/d5/L2dBISEvZ0FBIS9nQSE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lvinghealth.au/specifications" TargetMode="External"/><Relationship Id="rId5" Type="http://schemas.openxmlformats.org/officeDocument/2006/relationships/styles" Target="styles.xml"/><Relationship Id="rId15" Type="http://schemas.openxmlformats.org/officeDocument/2006/relationships/hyperlink" Target="https://www.solvinghealth.au/scorecard"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lvinghealth.au/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7aaca95015d586e46a8cb7140dabbf1b">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e631f7b37582b2fa9fc52e76e0651dd2"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7303F-5453-415A-97BB-24470AE2F735}">
  <ds:schemaRefs>
    <ds:schemaRef ds:uri="http://purl.org/dc/terms/"/>
    <ds:schemaRef ds:uri="http://schemas.microsoft.com/office/2006/documentManagement/types"/>
    <ds:schemaRef ds:uri="http://purl.org/dc/dcmitype/"/>
    <ds:schemaRef ds:uri="147b53b7-e685-4566-9d7c-b596e8f31032"/>
    <ds:schemaRef ds:uri="8b623f03-e0b9-4a3d-870d-1dbcb4637ef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3.xml><?xml version="1.0" encoding="utf-8"?>
<ds:datastoreItem xmlns:ds="http://schemas.openxmlformats.org/officeDocument/2006/customXml" ds:itemID="{A1DC75CD-4329-48F0-AD4D-1341BE07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1536</Words>
  <Characters>8757</Characters>
  <Application>Microsoft Office Word</Application>
  <DocSecurity>0</DocSecurity>
  <Lines>72</Lines>
  <Paragraphs>20</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article_nKPI data limitations_CC</dc:title>
  <dc:subject/>
  <cp:keywords/>
  <dc:description/>
  <cp:revision>4</cp:revision>
  <dcterms:created xsi:type="dcterms:W3CDTF">2025-07-29T05:20:00Z</dcterms:created>
  <dcterms:modified xsi:type="dcterms:W3CDTF">2025-07-29T05:21:00Z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