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5383" w14:textId="3E56F2B8" w:rsidR="00D14831" w:rsidRPr="00F735B2" w:rsidRDefault="008E2333" w:rsidP="00F735B2">
      <w:pPr>
        <w:pStyle w:val="QRGText"/>
        <w:sectPr w:rsidR="00D14831" w:rsidRPr="00F735B2" w:rsidSect="00316F6F">
          <w:headerReference w:type="default" r:id="rId8"/>
          <w:footerReference w:type="default" r:id="rId9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8AA61EC" wp14:editId="1AA89F19">
            <wp:simplePos x="0" y="0"/>
            <wp:positionH relativeFrom="column">
              <wp:posOffset>-161925</wp:posOffset>
            </wp:positionH>
            <wp:positionV relativeFrom="paragraph">
              <wp:posOffset>-866775</wp:posOffset>
            </wp:positionV>
            <wp:extent cx="2516505" cy="744855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41003"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17289" wp14:editId="7843A2FF">
                <wp:simplePos x="0" y="0"/>
                <wp:positionH relativeFrom="column">
                  <wp:posOffset>2938145</wp:posOffset>
                </wp:positionH>
                <wp:positionV relativeFrom="paragraph">
                  <wp:posOffset>-743585</wp:posOffset>
                </wp:positionV>
                <wp:extent cx="4147820" cy="520065"/>
                <wp:effectExtent l="0" t="0" r="0" b="190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4FFF5" w14:textId="77777777" w:rsidR="00F41003" w:rsidRPr="00321668" w:rsidRDefault="00F41003" w:rsidP="00F410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2166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Process a Data Asset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1728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31.35pt;margin-top:-58.55pt;width:326.6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" filled="f" stroked="f">
                <v:textbox style="mso-fit-shape-to-text:t">
                  <w:txbxContent>
                    <w:p w14:paraId="3424FFF5" w14:textId="77777777" w:rsidR="00F41003" w:rsidRPr="00321668" w:rsidRDefault="00F41003" w:rsidP="00F4100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2166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Process a Data Asset Submission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31CEA86D" w14:textId="77777777" w:rsidR="00A43814" w:rsidRDefault="00A43814" w:rsidP="00A43814">
      <w:pPr>
        <w:pStyle w:val="QRGHeading"/>
      </w:pPr>
      <w:r>
        <w:t>Overview</w:t>
      </w:r>
    </w:p>
    <w:p w14:paraId="60201D49" w14:textId="77777777" w:rsidR="00092FBC" w:rsidRDefault="00092FBC" w:rsidP="00A43814">
      <w:pPr>
        <w:pStyle w:val="QRGText"/>
      </w:pPr>
      <w:r>
        <w:t>Once a data asset has been</w:t>
      </w:r>
      <w:r w:rsidR="00A43814">
        <w:t xml:space="preserve"> approved</w:t>
      </w:r>
      <w:r w:rsidR="007426D9">
        <w:t xml:space="preserve"> by the </w:t>
      </w:r>
      <w:r w:rsidR="00753FC3">
        <w:t xml:space="preserve">relevant </w:t>
      </w:r>
      <w:r w:rsidR="00CB70AA">
        <w:t>party</w:t>
      </w:r>
      <w:r w:rsidR="00753FC3">
        <w:t xml:space="preserve"> within the </w:t>
      </w:r>
      <w:r w:rsidR="007426D9">
        <w:t>submitting organisation</w:t>
      </w:r>
      <w:r>
        <w:t xml:space="preserve">, it will be sent to </w:t>
      </w:r>
      <w:r w:rsidR="00AD3A91">
        <w:t xml:space="preserve">you as </w:t>
      </w:r>
      <w:r>
        <w:t>the</w:t>
      </w:r>
      <w:r w:rsidR="00AD3A91">
        <w:t xml:space="preserve"> external</w:t>
      </w:r>
      <w:r>
        <w:t xml:space="preserve"> </w:t>
      </w:r>
      <w:r w:rsidRPr="00C21EC4">
        <w:rPr>
          <w:i/>
        </w:rPr>
        <w:t>Data Receiver</w:t>
      </w:r>
      <w:r w:rsidR="00F034F2">
        <w:rPr>
          <w:i/>
        </w:rPr>
        <w:t xml:space="preserve">, </w:t>
      </w:r>
      <w:r w:rsidR="00F034F2" w:rsidRPr="00F034F2">
        <w:t>either</w:t>
      </w:r>
      <w:r>
        <w:t xml:space="preserve"> for processing</w:t>
      </w:r>
      <w:r w:rsidR="00F034F2">
        <w:t xml:space="preserve"> if applicable</w:t>
      </w:r>
      <w:r w:rsidR="00D04E4F">
        <w:t xml:space="preserve"> </w:t>
      </w:r>
      <w:r w:rsidR="004D58AA">
        <w:t>or so you can view and download the attached file</w:t>
      </w:r>
      <w:r>
        <w:t>.</w:t>
      </w:r>
    </w:p>
    <w:p w14:paraId="4B10627E" w14:textId="77777777" w:rsidR="00A43814" w:rsidRDefault="004D58AA" w:rsidP="00A43814">
      <w:pPr>
        <w:pStyle w:val="QRGText"/>
      </w:pPr>
      <w:r>
        <w:t>Where the data asset needs to be processed, o</w:t>
      </w:r>
      <w:r w:rsidR="00753FC3">
        <w:t xml:space="preserve">nce </w:t>
      </w:r>
      <w:r w:rsidR="00D9503A">
        <w:t>you have reviewed</w:t>
      </w:r>
      <w:r w:rsidR="00753FC3">
        <w:t xml:space="preserve"> t</w:t>
      </w:r>
      <w:r w:rsidR="007426D9">
        <w:t>he</w:t>
      </w:r>
      <w:r w:rsidR="00D9503A">
        <w:t xml:space="preserve"> data asset, you can </w:t>
      </w:r>
      <w:r w:rsidR="00A15268">
        <w:t xml:space="preserve">choose to either return </w:t>
      </w:r>
      <w:r w:rsidR="003F2957">
        <w:t>it</w:t>
      </w:r>
      <w:r w:rsidR="00A15268">
        <w:t xml:space="preserve"> to the u</w:t>
      </w:r>
      <w:r w:rsidR="00A43814">
        <w:t xml:space="preserve">ploader for </w:t>
      </w:r>
      <w:r w:rsidR="000A62AF">
        <w:t>revision</w:t>
      </w:r>
      <w:r w:rsidR="00092FBC">
        <w:t xml:space="preserve"> if there are errors</w:t>
      </w:r>
      <w:r w:rsidR="000A62AF">
        <w:t>, or</w:t>
      </w:r>
      <w:r w:rsidR="00A15268">
        <w:t xml:space="preserve"> process the data a</w:t>
      </w:r>
      <w:r w:rsidR="00A43814">
        <w:t xml:space="preserve">sset </w:t>
      </w:r>
      <w:r w:rsidR="00F034F2">
        <w:t xml:space="preserve">as complete, </w:t>
      </w:r>
      <w:r w:rsidR="00A43814">
        <w:t>ready for publication</w:t>
      </w:r>
      <w:r w:rsidR="00F034F2">
        <w:t xml:space="preserve"> if needed</w:t>
      </w:r>
      <w:r w:rsidR="00A43814">
        <w:t xml:space="preserve">. </w:t>
      </w:r>
    </w:p>
    <w:p w14:paraId="4E9F67F8" w14:textId="77777777" w:rsidR="006D260B" w:rsidRDefault="00377A0F" w:rsidP="00C41FA2">
      <w:pPr>
        <w:pStyle w:val="QRGHeading"/>
      </w:pPr>
      <w:r>
        <w:t>Process</w:t>
      </w:r>
      <w:r w:rsidR="00A43814">
        <w:t xml:space="preserve"> </w:t>
      </w:r>
      <w:r w:rsidR="000A62AF">
        <w:t xml:space="preserve">a </w:t>
      </w:r>
      <w:r w:rsidR="00A43814">
        <w:t>Data Asset</w:t>
      </w:r>
      <w:r w:rsidR="00AD3A91">
        <w:t xml:space="preserve"> </w:t>
      </w:r>
    </w:p>
    <w:p w14:paraId="54647A05" w14:textId="77777777" w:rsidR="000A62AF" w:rsidRDefault="000A62AF" w:rsidP="000A62AF">
      <w:pPr>
        <w:pStyle w:val="QRGSubHeading"/>
      </w:pPr>
      <w:r>
        <w:t>Step 1 – Review the Data Asset</w:t>
      </w:r>
    </w:p>
    <w:p w14:paraId="2DAA055B" w14:textId="77777777" w:rsidR="00C41FA2" w:rsidRDefault="00C41FA2" w:rsidP="00C41FA2">
      <w:pPr>
        <w:pStyle w:val="QRGText"/>
      </w:pPr>
      <w:r>
        <w:t xml:space="preserve">Once </w:t>
      </w:r>
      <w:r w:rsidR="00D9503A">
        <w:t>you</w:t>
      </w:r>
      <w:r w:rsidR="000A62AF">
        <w:t xml:space="preserve"> </w:t>
      </w:r>
      <w:r w:rsidR="00D9503A">
        <w:t>have</w:t>
      </w:r>
      <w:r>
        <w:t xml:space="preserve"> received </w:t>
      </w:r>
      <w:r w:rsidR="000A62AF">
        <w:t>an approved data a</w:t>
      </w:r>
      <w:r>
        <w:t xml:space="preserve">sset, </w:t>
      </w:r>
      <w:r w:rsidR="0002128E">
        <w:t>you</w:t>
      </w:r>
      <w:r w:rsidR="000A62AF">
        <w:t xml:space="preserve"> can review the </w:t>
      </w:r>
      <w:r w:rsidR="003F2957">
        <w:t xml:space="preserve">data </w:t>
      </w:r>
      <w:r w:rsidR="000A62AF">
        <w:t xml:space="preserve">asset in the </w:t>
      </w:r>
      <w:r w:rsidR="002D095E">
        <w:t xml:space="preserve">Data </w:t>
      </w:r>
      <w:r w:rsidR="000A62AF">
        <w:t>Portal to ensure it is ready to go to the next step of the process.</w:t>
      </w:r>
      <w:r>
        <w:t xml:space="preserve"> </w:t>
      </w:r>
    </w:p>
    <w:p w14:paraId="6E9C5158" w14:textId="77777777" w:rsidR="00E86796" w:rsidRDefault="00E86796" w:rsidP="00C41FA2">
      <w:pPr>
        <w:pStyle w:val="QRGText"/>
      </w:pPr>
      <w:r>
        <w:t>To review a data asset</w:t>
      </w:r>
      <w:r w:rsidR="00DF371B">
        <w:t xml:space="preserve"> in the Data Portal</w:t>
      </w:r>
      <w:r>
        <w:t>:</w:t>
      </w:r>
    </w:p>
    <w:p w14:paraId="7DE97C46" w14:textId="77777777" w:rsidR="000A62AF" w:rsidRDefault="000A62AF" w:rsidP="000A62AF">
      <w:pPr>
        <w:pStyle w:val="QRGNumbering1"/>
        <w:numPr>
          <w:ilvl w:val="0"/>
          <w:numId w:val="25"/>
        </w:numPr>
      </w:pPr>
      <w:r w:rsidRPr="000A62AF">
        <w:t>Open the Data Portal</w:t>
      </w:r>
      <w:r w:rsidR="00092FBC">
        <w:t xml:space="preserve"> through </w:t>
      </w:r>
      <w:hyperlink r:id="rId11" w:history="1">
        <w:r w:rsidR="00FE495C">
          <w:rPr>
            <w:rStyle w:val="Hyperlink"/>
          </w:rPr>
          <w:t>Health Data Portal</w:t>
        </w:r>
      </w:hyperlink>
      <w:r w:rsidRPr="000A62AF">
        <w:t>.</w:t>
      </w:r>
    </w:p>
    <w:p w14:paraId="01518B6F" w14:textId="77777777" w:rsidR="001F43A1" w:rsidRDefault="001F43A1" w:rsidP="001F43A1">
      <w:pPr>
        <w:pStyle w:val="QRGNumbering1"/>
        <w:numPr>
          <w:ilvl w:val="0"/>
          <w:numId w:val="25"/>
        </w:numPr>
      </w:pPr>
      <w:r>
        <w:t xml:space="preserve">Log in using the information provided in the </w:t>
      </w:r>
      <w:r w:rsidR="009056DA">
        <w:rPr>
          <w:i/>
        </w:rPr>
        <w:t>Registering for and Logging</w:t>
      </w:r>
      <w:r w:rsidRPr="001F43A1">
        <w:rPr>
          <w:i/>
        </w:rPr>
        <w:t xml:space="preserve"> to the Health Data Portal</w:t>
      </w:r>
      <w:r>
        <w:t xml:space="preserve"> QRG.</w:t>
      </w:r>
    </w:p>
    <w:p w14:paraId="305EDA7F" w14:textId="7462248D" w:rsidR="001F43A1" w:rsidRDefault="001F43A1" w:rsidP="001F43A1">
      <w:pPr>
        <w:pStyle w:val="QRGText"/>
        <w:rPr>
          <w:noProof/>
        </w:rPr>
      </w:pPr>
      <w:r>
        <w:rPr>
          <w:noProof/>
        </w:rPr>
        <w:t xml:space="preserve">The Data Portal </w:t>
      </w:r>
      <w:r w:rsidR="004F76E5">
        <w:rPr>
          <w:noProof/>
        </w:rPr>
        <w:t>h</w:t>
      </w:r>
      <w:r>
        <w:rPr>
          <w:noProof/>
        </w:rPr>
        <w:t>ome screen will display.</w:t>
      </w:r>
    </w:p>
    <w:p w14:paraId="3E573207" w14:textId="627E349F" w:rsidR="008E2333" w:rsidRPr="008E2333" w:rsidRDefault="004441AF" w:rsidP="008E2333">
      <w:pPr>
        <w:pStyle w:val="QRGPictureCentre"/>
      </w:pPr>
      <w:r>
        <w:drawing>
          <wp:inline distT="0" distB="0" distL="0" distR="0" wp14:anchorId="748C0AE2" wp14:editId="037CD0B3">
            <wp:extent cx="3105150" cy="952500"/>
            <wp:effectExtent l="19050" t="19050" r="19050" b="19050"/>
            <wp:docPr id="4" name="Picture 4" descr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icture of the Data Portal home scre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3F7606" w14:textId="39112816" w:rsidR="000A62AF" w:rsidRPr="000A62AF" w:rsidRDefault="000A62AF" w:rsidP="000A62AF">
      <w:pPr>
        <w:pStyle w:val="QRGNumbering1"/>
        <w:numPr>
          <w:ilvl w:val="0"/>
          <w:numId w:val="25"/>
        </w:numPr>
      </w:pPr>
      <w:r w:rsidRPr="000A62AF">
        <w:t xml:space="preserve">From the Data Portal </w:t>
      </w:r>
      <w:r w:rsidR="004F76E5">
        <w:t>h</w:t>
      </w:r>
      <w:r w:rsidRPr="000A62AF">
        <w:t xml:space="preserve">ome screen, search for the data asset to be </w:t>
      </w:r>
      <w:r>
        <w:t>processed</w:t>
      </w:r>
      <w:r w:rsidRPr="000A62AF">
        <w:t xml:space="preserve">. </w:t>
      </w:r>
    </w:p>
    <w:p w14:paraId="5B9F9733" w14:textId="77777777" w:rsidR="000A62AF" w:rsidRDefault="000A62AF" w:rsidP="000A62AF">
      <w:pPr>
        <w:pStyle w:val="QRGNumbering1"/>
        <w:numPr>
          <w:ilvl w:val="0"/>
          <w:numId w:val="0"/>
        </w:numPr>
        <w:ind w:left="360"/>
      </w:pPr>
      <w:r>
        <w:t xml:space="preserve">For more information on how to search for a data asset, see the </w:t>
      </w:r>
      <w:r>
        <w:rPr>
          <w:i/>
        </w:rPr>
        <w:t>Get</w:t>
      </w:r>
      <w:r w:rsidRPr="00780EC1">
        <w:rPr>
          <w:i/>
        </w:rPr>
        <w:t xml:space="preserve"> Started in the Health Data Portal</w:t>
      </w:r>
      <w:r>
        <w:t xml:space="preserve"> QRG.</w:t>
      </w:r>
    </w:p>
    <w:p w14:paraId="14786343" w14:textId="77777777" w:rsidR="000A62AF" w:rsidRPr="000A62AF" w:rsidRDefault="00AD3A91" w:rsidP="000A62AF">
      <w:pPr>
        <w:pStyle w:val="QRGText"/>
        <w:rPr>
          <w:b/>
        </w:rPr>
      </w:pPr>
      <w:r>
        <w:rPr>
          <w:noProof/>
          <w:lang w:eastAsia="en-AU"/>
        </w:rPr>
        <w:drawing>
          <wp:inline distT="0" distB="0" distL="0" distR="0" wp14:anchorId="4E4EF3D5" wp14:editId="45ED0639">
            <wp:extent cx="252000" cy="252000"/>
            <wp:effectExtent l="0" t="0" r="0" b="0"/>
            <wp:docPr id="26" name="Picture 26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A62AF" w:rsidRPr="000A62AF">
        <w:t xml:space="preserve">To be eligible for processing, the data asset’s status will need to be </w:t>
      </w:r>
      <w:r w:rsidR="000A62AF" w:rsidRPr="000A62AF">
        <w:rPr>
          <w:i/>
        </w:rPr>
        <w:t>Submission Approved</w:t>
      </w:r>
      <w:r w:rsidR="000A62AF">
        <w:t>.</w:t>
      </w:r>
    </w:p>
    <w:p w14:paraId="6984ABBF" w14:textId="77777777" w:rsidR="00C41FA2" w:rsidRDefault="000A62AF" w:rsidP="00C41FA2">
      <w:pPr>
        <w:pStyle w:val="QRGNumbering1"/>
      </w:pPr>
      <w:r>
        <w:t>Select the data a</w:t>
      </w:r>
      <w:r w:rsidR="00C41FA2">
        <w:t xml:space="preserve">sset </w:t>
      </w:r>
      <w:r>
        <w:t>to be processed</w:t>
      </w:r>
      <w:r w:rsidR="00C41FA2">
        <w:t xml:space="preserve">. </w:t>
      </w:r>
    </w:p>
    <w:p w14:paraId="21BDB740" w14:textId="77777777" w:rsidR="00C41FA2" w:rsidRDefault="00C41FA2" w:rsidP="00C41FA2">
      <w:pPr>
        <w:pStyle w:val="QRGText"/>
      </w:pPr>
      <w:r>
        <w:t xml:space="preserve">The Data Asset Details screen will display. </w:t>
      </w:r>
    </w:p>
    <w:p w14:paraId="062BC535" w14:textId="77777777" w:rsidR="00406309" w:rsidRDefault="00406309" w:rsidP="00C41FA2">
      <w:pPr>
        <w:pStyle w:val="QRGNumbering1"/>
      </w:pPr>
      <w:r>
        <w:t>Review the details of the data asset as required.</w:t>
      </w:r>
    </w:p>
    <w:p w14:paraId="58392325" w14:textId="77777777" w:rsidR="00406309" w:rsidRDefault="00AD3A91" w:rsidP="00406309">
      <w:pPr>
        <w:pStyle w:val="QRGText"/>
      </w:pPr>
      <w:r>
        <w:rPr>
          <w:noProof/>
          <w:lang w:eastAsia="en-AU"/>
        </w:rPr>
        <w:drawing>
          <wp:inline distT="0" distB="0" distL="0" distR="0" wp14:anchorId="31149C5D" wp14:editId="7EBF6596">
            <wp:extent cx="252000" cy="252000"/>
            <wp:effectExtent l="0" t="0" r="0" b="0"/>
            <wp:docPr id="10" name="Picture 1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06309">
        <w:t xml:space="preserve">To review the contents of the file, select </w:t>
      </w:r>
      <w:r w:rsidR="00F906C7">
        <w:t xml:space="preserve">the file title link under </w:t>
      </w:r>
      <w:r w:rsidR="00F906C7" w:rsidRPr="00F906C7">
        <w:rPr>
          <w:b/>
        </w:rPr>
        <w:t>File Name</w:t>
      </w:r>
      <w:r w:rsidR="00F906C7">
        <w:t xml:space="preserve"> in the </w:t>
      </w:r>
      <w:r w:rsidR="00F906C7" w:rsidRPr="00F906C7">
        <w:rPr>
          <w:b/>
        </w:rPr>
        <w:t>Files</w:t>
      </w:r>
      <w:r w:rsidR="00F906C7">
        <w:t xml:space="preserve"> section.</w:t>
      </w:r>
    </w:p>
    <w:p w14:paraId="230638AE" w14:textId="77777777" w:rsidR="000A62AF" w:rsidRDefault="00EC50CA" w:rsidP="000A62AF">
      <w:pPr>
        <w:pStyle w:val="QRGNumbering1"/>
      </w:pPr>
      <w:r>
        <w:rPr>
          <w:noProof/>
          <w:lang w:eastAsia="en-AU"/>
        </w:rPr>
        <w:t xml:space="preserve">Select either </w:t>
      </w:r>
      <w:r w:rsidR="0020377B">
        <w:rPr>
          <w:noProof/>
          <w:lang w:eastAsia="en-AU"/>
        </w:rPr>
        <w:drawing>
          <wp:inline distT="0" distB="0" distL="0" distR="0" wp14:anchorId="0FA9287A" wp14:editId="678282E5">
            <wp:extent cx="842400" cy="180000"/>
            <wp:effectExtent l="19050" t="19050" r="15240" b="10795"/>
            <wp:docPr id="5" name="Picture 5" title="Change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  <w:r>
        <w:t xml:space="preserve">or the workflow progress bar </w:t>
      </w:r>
      <w:r w:rsidR="004E79EB">
        <w:t xml:space="preserve">at the top of the screen </w:t>
      </w:r>
      <w:r w:rsidR="004C4753">
        <w:t>and, in the Change Data Asset Status dialog box, i</w:t>
      </w:r>
      <w:r w:rsidR="000A62AF">
        <w:t xml:space="preserve">n the </w:t>
      </w:r>
      <w:r w:rsidR="000A62AF" w:rsidRPr="00474B65">
        <w:rPr>
          <w:b/>
        </w:rPr>
        <w:t>Action</w:t>
      </w:r>
      <w:r w:rsidR="000A62AF">
        <w:t xml:space="preserve"> field</w:t>
      </w:r>
      <w:r w:rsidR="00406309">
        <w:t>,</w:t>
      </w:r>
      <w:r w:rsidR="000A62AF">
        <w:t xml:space="preserve"> select</w:t>
      </w:r>
      <w:r w:rsidR="004C4753">
        <w:t xml:space="preserve"> </w:t>
      </w:r>
      <w:r w:rsidR="004C4753">
        <w:rPr>
          <w:noProof/>
          <w:lang w:eastAsia="en-AU"/>
        </w:rPr>
        <w:drawing>
          <wp:inline distT="0" distB="0" distL="0" distR="0" wp14:anchorId="14E47C56" wp14:editId="1C82AD5C">
            <wp:extent cx="162000" cy="180000"/>
            <wp:effectExtent l="19050" t="19050" r="9525" b="10795"/>
            <wp:docPr id="14" name="Picture 14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C4753">
        <w:t xml:space="preserve"> and select</w:t>
      </w:r>
      <w:r w:rsidR="000A62AF">
        <w:t xml:space="preserve"> </w:t>
      </w:r>
      <w:r w:rsidR="00EE50E8">
        <w:rPr>
          <w:i/>
        </w:rPr>
        <w:t xml:space="preserve">Ready for </w:t>
      </w:r>
      <w:r w:rsidR="000A62AF" w:rsidRPr="003F2957">
        <w:rPr>
          <w:i/>
        </w:rPr>
        <w:t>Processing</w:t>
      </w:r>
      <w:r w:rsidR="00406309" w:rsidRPr="003F2957">
        <w:rPr>
          <w:i/>
        </w:rPr>
        <w:t xml:space="preserve"> </w:t>
      </w:r>
      <w:r w:rsidR="00406309" w:rsidRPr="00AD3A91">
        <w:t>to</w:t>
      </w:r>
      <w:r w:rsidR="00406309" w:rsidRPr="00CB70AA">
        <w:rPr>
          <w:b/>
        </w:rPr>
        <w:t xml:space="preserve"> </w:t>
      </w:r>
      <w:r w:rsidR="00406309">
        <w:t>move the data asset to the next step of the process</w:t>
      </w:r>
      <w:r w:rsidR="000A62AF">
        <w:t>.</w:t>
      </w:r>
    </w:p>
    <w:p w14:paraId="40B936D0" w14:textId="77777777" w:rsidR="00F034F2" w:rsidRDefault="00F034F2" w:rsidP="0020313B">
      <w:pPr>
        <w:pStyle w:val="QRGText"/>
        <w:rPr>
          <w:b/>
        </w:rPr>
      </w:pPr>
    </w:p>
    <w:p w14:paraId="1C78ADF8" w14:textId="77777777" w:rsidR="0020313B" w:rsidRPr="00CB70AA" w:rsidRDefault="0020313B" w:rsidP="0020313B">
      <w:pPr>
        <w:pStyle w:val="QRGText"/>
        <w:rPr>
          <w:b/>
        </w:rPr>
      </w:pPr>
      <w:r w:rsidRPr="00CB70AA">
        <w:rPr>
          <w:b/>
        </w:rPr>
        <w:t xml:space="preserve">If there are errors in the data asset and/or the </w:t>
      </w:r>
      <w:r w:rsidR="00F906C7">
        <w:rPr>
          <w:b/>
        </w:rPr>
        <w:t xml:space="preserve">attached </w:t>
      </w:r>
      <w:r w:rsidRPr="00CB70AA">
        <w:rPr>
          <w:b/>
        </w:rPr>
        <w:t>file:</w:t>
      </w:r>
    </w:p>
    <w:p w14:paraId="5CB6C5DA" w14:textId="77777777" w:rsidR="0020313B" w:rsidRDefault="004C4753" w:rsidP="0020313B">
      <w:pPr>
        <w:pStyle w:val="QRGNumbering2"/>
      </w:pPr>
      <w:r>
        <w:t xml:space="preserve">In the Change Data Asset Status dialog box, in the </w:t>
      </w:r>
      <w:r w:rsidRPr="00474B65">
        <w:rPr>
          <w:b/>
        </w:rPr>
        <w:t>Action</w:t>
      </w:r>
      <w:r>
        <w:t xml:space="preserve"> field, </w:t>
      </w:r>
      <w:r w:rsidR="0020313B">
        <w:t xml:space="preserve">select </w:t>
      </w:r>
      <w:r>
        <w:rPr>
          <w:noProof/>
          <w:lang w:eastAsia="en-AU"/>
        </w:rPr>
        <w:drawing>
          <wp:inline distT="0" distB="0" distL="0" distR="0" wp14:anchorId="5C416C26" wp14:editId="54DEE3D1">
            <wp:extent cx="162000" cy="180000"/>
            <wp:effectExtent l="19050" t="19050" r="9525" b="10795"/>
            <wp:docPr id="16" name="Picture 16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0313B">
        <w:t xml:space="preserve"> and select </w:t>
      </w:r>
      <w:r w:rsidR="0020313B" w:rsidRPr="000A70E5">
        <w:rPr>
          <w:i/>
        </w:rPr>
        <w:t>Return to Uploader.</w:t>
      </w:r>
    </w:p>
    <w:p w14:paraId="6AD13653" w14:textId="77777777" w:rsidR="0020313B" w:rsidRDefault="0020313B" w:rsidP="0020313B">
      <w:pPr>
        <w:pStyle w:val="QRGNumbering2"/>
      </w:pPr>
      <w:r>
        <w:t xml:space="preserve">In the </w:t>
      </w:r>
      <w:r w:rsidRPr="0020313B">
        <w:rPr>
          <w:b/>
        </w:rPr>
        <w:t>Comment</w:t>
      </w:r>
      <w:r>
        <w:t xml:space="preserve"> field, enter details regarding why the data asset has been returned.</w:t>
      </w:r>
    </w:p>
    <w:p w14:paraId="771E1133" w14:textId="77777777" w:rsidR="0020313B" w:rsidRDefault="0020313B" w:rsidP="0020313B">
      <w:pPr>
        <w:pStyle w:val="QRGNumbering2"/>
      </w:pPr>
      <w:r>
        <w:t xml:space="preserve">To send the data asset back to the uploader, select </w:t>
      </w:r>
      <w:r w:rsidR="0020377B">
        <w:rPr>
          <w:noProof/>
          <w:lang w:eastAsia="en-AU"/>
        </w:rPr>
        <w:drawing>
          <wp:inline distT="0" distB="0" distL="0" distR="0" wp14:anchorId="05D6A5FE" wp14:editId="16AAA551">
            <wp:extent cx="972000" cy="180000"/>
            <wp:effectExtent l="19050" t="19050" r="19050" b="10795"/>
            <wp:docPr id="942" name="Picture 942" title="the Return to Uploade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5786C5E4" w14:textId="77777777" w:rsidR="00CB70AA" w:rsidRDefault="00CB70AA" w:rsidP="00CB70AA">
      <w:pPr>
        <w:pStyle w:val="QRGText"/>
      </w:pPr>
    </w:p>
    <w:p w14:paraId="6862991D" w14:textId="77777777" w:rsidR="00406309" w:rsidRDefault="00406309" w:rsidP="00C41FA2">
      <w:pPr>
        <w:pStyle w:val="QRGNumbering1"/>
      </w:pPr>
      <w:r>
        <w:t xml:space="preserve">Enter any comments regarding the data asset in the </w:t>
      </w:r>
      <w:r w:rsidRPr="00406309">
        <w:rPr>
          <w:b/>
        </w:rPr>
        <w:t>Comment</w:t>
      </w:r>
      <w:r>
        <w:t xml:space="preserve"> field</w:t>
      </w:r>
      <w:r w:rsidR="0020313B">
        <w:t>, if needed</w:t>
      </w:r>
      <w:r>
        <w:t>.</w:t>
      </w:r>
    </w:p>
    <w:p w14:paraId="2998CCD8" w14:textId="77777777" w:rsidR="00C41FA2" w:rsidRDefault="000A62AF" w:rsidP="00C41FA2">
      <w:pPr>
        <w:pStyle w:val="QRGNumbering1"/>
      </w:pPr>
      <w:r>
        <w:t xml:space="preserve">To set the data asset to </w:t>
      </w:r>
      <w:r w:rsidRPr="003F2957">
        <w:rPr>
          <w:i/>
        </w:rPr>
        <w:t>Ready for Processing</w:t>
      </w:r>
      <w:r w:rsidRPr="00CB70AA">
        <w:t>,</w:t>
      </w:r>
      <w:r>
        <w:t xml:space="preserve"> s</w:t>
      </w:r>
      <w:r w:rsidR="00C41FA2">
        <w:t>elect</w:t>
      </w:r>
      <w:r w:rsidR="0020377B">
        <w:t xml:space="preserve"> </w:t>
      </w:r>
      <w:r w:rsidR="0020377B">
        <w:rPr>
          <w:noProof/>
          <w:lang w:eastAsia="en-AU"/>
        </w:rPr>
        <w:drawing>
          <wp:inline distT="0" distB="0" distL="0" distR="0" wp14:anchorId="2B94D611" wp14:editId="07E50227">
            <wp:extent cx="1098000" cy="180000"/>
            <wp:effectExtent l="19050" t="19050" r="26035" b="10795"/>
            <wp:docPr id="932" name="Picture 932" title="the Ready for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41FA2">
        <w:t>.</w:t>
      </w:r>
    </w:p>
    <w:p w14:paraId="65F7561B" w14:textId="77777777" w:rsidR="00D87BAA" w:rsidRDefault="00C41FA2" w:rsidP="00C41FA2">
      <w:pPr>
        <w:pStyle w:val="QRGText"/>
      </w:pPr>
      <w:r>
        <w:t xml:space="preserve">The Data Asset’s status will change to </w:t>
      </w:r>
      <w:r w:rsidR="004A7277" w:rsidRPr="000A62AF">
        <w:rPr>
          <w:i/>
        </w:rPr>
        <w:t>Ready for Processing</w:t>
      </w:r>
      <w:r>
        <w:t xml:space="preserve"> </w:t>
      </w:r>
      <w:r w:rsidR="00E86796">
        <w:t xml:space="preserve">and it </w:t>
      </w:r>
      <w:r w:rsidR="009834E2">
        <w:t>is ready to be processed</w:t>
      </w:r>
      <w:r w:rsidR="004A7277">
        <w:t xml:space="preserve">. </w:t>
      </w:r>
    </w:p>
    <w:p w14:paraId="5CAF2944" w14:textId="77777777" w:rsidR="00377A0F" w:rsidRDefault="000A62AF" w:rsidP="00377A0F">
      <w:pPr>
        <w:pStyle w:val="QRGSubHeading"/>
      </w:pPr>
      <w:r>
        <w:t>Step 2 – Process the</w:t>
      </w:r>
      <w:r w:rsidR="00377A0F">
        <w:t xml:space="preserve"> Data Asset</w:t>
      </w:r>
    </w:p>
    <w:p w14:paraId="46CEFF47" w14:textId="77777777" w:rsidR="00377A0F" w:rsidRDefault="0020313B" w:rsidP="00377A0F">
      <w:pPr>
        <w:pStyle w:val="QRGText"/>
      </w:pPr>
      <w:r>
        <w:t>Once</w:t>
      </w:r>
      <w:r w:rsidR="00753FC3">
        <w:t xml:space="preserve"> a data a</w:t>
      </w:r>
      <w:r w:rsidR="00377A0F">
        <w:t xml:space="preserve">sset has the status of </w:t>
      </w:r>
      <w:r w:rsidR="00377A0F" w:rsidRPr="000A62AF">
        <w:rPr>
          <w:i/>
        </w:rPr>
        <w:t>Ready for Processing</w:t>
      </w:r>
      <w:r w:rsidR="00377A0F">
        <w:t>, it can be processed and prepared for publishing</w:t>
      </w:r>
      <w:r w:rsidR="00F034F2">
        <w:t xml:space="preserve"> as required</w:t>
      </w:r>
      <w:r w:rsidR="00377A0F">
        <w:t xml:space="preserve">. </w:t>
      </w:r>
    </w:p>
    <w:p w14:paraId="0E241E03" w14:textId="77777777" w:rsidR="00E86796" w:rsidRDefault="00E86796" w:rsidP="00377A0F">
      <w:pPr>
        <w:pStyle w:val="QRGText"/>
      </w:pPr>
      <w:r>
        <w:t>To process a data asset</w:t>
      </w:r>
      <w:r w:rsidR="00DF371B">
        <w:t xml:space="preserve"> in the Data Portal</w:t>
      </w:r>
      <w:r>
        <w:t>:</w:t>
      </w:r>
    </w:p>
    <w:p w14:paraId="1AA01D0D" w14:textId="264958E6" w:rsidR="001F43A1" w:rsidRDefault="001F43A1" w:rsidP="0020313B">
      <w:pPr>
        <w:pStyle w:val="QRGNumbering1"/>
        <w:numPr>
          <w:ilvl w:val="0"/>
          <w:numId w:val="33"/>
        </w:numPr>
      </w:pPr>
      <w:r>
        <w:t xml:space="preserve">Ensure the Data Portal </w:t>
      </w:r>
      <w:r w:rsidR="004F76E5">
        <w:t>h</w:t>
      </w:r>
      <w:r>
        <w:t>ome screen is displayed.</w:t>
      </w:r>
    </w:p>
    <w:p w14:paraId="0B874BE6" w14:textId="5B26244C" w:rsidR="000A62AF" w:rsidRPr="000A62AF" w:rsidRDefault="000A62AF" w:rsidP="0020313B">
      <w:pPr>
        <w:pStyle w:val="QRGNumbering1"/>
        <w:numPr>
          <w:ilvl w:val="0"/>
          <w:numId w:val="33"/>
        </w:numPr>
      </w:pPr>
      <w:r w:rsidRPr="000A62AF">
        <w:t xml:space="preserve">From the </w:t>
      </w:r>
      <w:r w:rsidR="004F76E5">
        <w:t>h</w:t>
      </w:r>
      <w:r w:rsidRPr="000A62AF">
        <w:t xml:space="preserve">ome screen, search for the data asset to be </w:t>
      </w:r>
      <w:r>
        <w:t>processed</w:t>
      </w:r>
      <w:r w:rsidRPr="000A62AF">
        <w:t xml:space="preserve">. </w:t>
      </w:r>
    </w:p>
    <w:p w14:paraId="607777AA" w14:textId="77777777" w:rsidR="000A62AF" w:rsidRDefault="000A62AF" w:rsidP="000A62AF">
      <w:pPr>
        <w:pStyle w:val="QRGNumbering1"/>
        <w:numPr>
          <w:ilvl w:val="0"/>
          <w:numId w:val="0"/>
        </w:numPr>
        <w:ind w:left="360"/>
      </w:pPr>
      <w:r>
        <w:t xml:space="preserve">For more information on how to search for a data asset, see the </w:t>
      </w:r>
      <w:r>
        <w:rPr>
          <w:i/>
        </w:rPr>
        <w:t>Get</w:t>
      </w:r>
      <w:r w:rsidRPr="00780EC1">
        <w:rPr>
          <w:i/>
        </w:rPr>
        <w:t xml:space="preserve"> Started in the Health Data Portal</w:t>
      </w:r>
      <w:r>
        <w:t xml:space="preserve"> QRG.</w:t>
      </w:r>
    </w:p>
    <w:p w14:paraId="6236AF0A" w14:textId="77777777" w:rsidR="00377A0F" w:rsidRDefault="000A62AF" w:rsidP="00377A0F">
      <w:pPr>
        <w:pStyle w:val="QRGNumbering1"/>
      </w:pPr>
      <w:r>
        <w:t>Select the data a</w:t>
      </w:r>
      <w:r w:rsidR="00377A0F">
        <w:t xml:space="preserve">sset </w:t>
      </w:r>
      <w:r w:rsidR="00706011">
        <w:t>to be processed</w:t>
      </w:r>
      <w:r w:rsidR="00377A0F">
        <w:t xml:space="preserve">. </w:t>
      </w:r>
    </w:p>
    <w:p w14:paraId="66E5FD41" w14:textId="77777777" w:rsidR="00377A0F" w:rsidRDefault="00377A0F" w:rsidP="00377A0F">
      <w:pPr>
        <w:pStyle w:val="QRGText"/>
      </w:pPr>
      <w:r>
        <w:t xml:space="preserve">The Data Asset Details screen will display. </w:t>
      </w:r>
    </w:p>
    <w:p w14:paraId="203192AA" w14:textId="77777777" w:rsidR="0020313B" w:rsidRDefault="0020313B" w:rsidP="0020313B">
      <w:pPr>
        <w:pStyle w:val="QRGNumbering1"/>
      </w:pPr>
      <w:r>
        <w:t xml:space="preserve">To </w:t>
      </w:r>
      <w:r w:rsidR="00BD6234">
        <w:t>review</w:t>
      </w:r>
      <w:r>
        <w:t xml:space="preserve"> the </w:t>
      </w:r>
      <w:r w:rsidR="000A70E5">
        <w:t xml:space="preserve">attached </w:t>
      </w:r>
      <w:r>
        <w:t xml:space="preserve">file, select </w:t>
      </w:r>
      <w:r w:rsidR="000A70E5">
        <w:t xml:space="preserve">the </w:t>
      </w:r>
      <w:r w:rsidR="00F906C7">
        <w:t>file title link under</w:t>
      </w:r>
      <w:r>
        <w:t xml:space="preserve"> </w:t>
      </w:r>
      <w:r w:rsidRPr="00314E36">
        <w:rPr>
          <w:b/>
        </w:rPr>
        <w:t>File Name</w:t>
      </w:r>
      <w:r>
        <w:t xml:space="preserve"> </w:t>
      </w:r>
      <w:r w:rsidR="00F906C7">
        <w:t>in the</w:t>
      </w:r>
      <w:r>
        <w:t xml:space="preserve"> </w:t>
      </w:r>
      <w:r w:rsidRPr="002C1651">
        <w:rPr>
          <w:b/>
        </w:rPr>
        <w:t>Files</w:t>
      </w:r>
      <w:r w:rsidR="00F906C7">
        <w:rPr>
          <w:b/>
        </w:rPr>
        <w:t xml:space="preserve"> </w:t>
      </w:r>
      <w:r w:rsidR="00F906C7">
        <w:t>section</w:t>
      </w:r>
      <w:r>
        <w:t>.</w:t>
      </w:r>
    </w:p>
    <w:p w14:paraId="28D43463" w14:textId="77777777" w:rsidR="00924B74" w:rsidRDefault="003F2957" w:rsidP="00924B74">
      <w:pPr>
        <w:pStyle w:val="QRGNumbering1"/>
      </w:pPr>
      <w:r>
        <w:t xml:space="preserve">Review the </w:t>
      </w:r>
      <w:r w:rsidR="00EE50E8">
        <w:t>contents of the attached file</w:t>
      </w:r>
      <w:r>
        <w:t xml:space="preserve"> and then c</w:t>
      </w:r>
      <w:r w:rsidR="000A70E5">
        <w:t>lose the file as needed.</w:t>
      </w:r>
    </w:p>
    <w:p w14:paraId="6FEA8F61" w14:textId="77777777" w:rsidR="004C4753" w:rsidRDefault="004C4753" w:rsidP="004C4753">
      <w:pPr>
        <w:pStyle w:val="QRGNumbering1"/>
      </w:pPr>
      <w:r>
        <w:lastRenderedPageBreak/>
        <w:t xml:space="preserve">In the Data Asset Details screen, select </w:t>
      </w:r>
      <w:r w:rsidR="004F469F">
        <w:rPr>
          <w:noProof/>
          <w:lang w:eastAsia="en-AU"/>
        </w:rPr>
        <w:t xml:space="preserve">either </w:t>
      </w:r>
      <w:r w:rsidR="0020377B">
        <w:rPr>
          <w:noProof/>
          <w:lang w:eastAsia="en-AU"/>
        </w:rPr>
        <w:drawing>
          <wp:inline distT="0" distB="0" distL="0" distR="0" wp14:anchorId="77903994" wp14:editId="72FDD16F">
            <wp:extent cx="842400" cy="180000"/>
            <wp:effectExtent l="19050" t="19050" r="15240" b="10795"/>
            <wp:docPr id="7" name="Picture 7" title="Change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F469F">
        <w:rPr>
          <w:noProof/>
          <w:lang w:eastAsia="en-AU"/>
        </w:rPr>
        <w:t xml:space="preserve"> </w:t>
      </w:r>
      <w:r w:rsidR="004F469F">
        <w:t xml:space="preserve">or the applicable area of the workflow progress bar </w:t>
      </w:r>
      <w:r w:rsidR="004E79EB">
        <w:t xml:space="preserve">at the top of </w:t>
      </w:r>
      <w:r w:rsidR="00626315"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58741B" wp14:editId="726AEF1F">
                <wp:simplePos x="0" y="0"/>
                <wp:positionH relativeFrom="column">
                  <wp:posOffset>2938834</wp:posOffset>
                </wp:positionH>
                <wp:positionV relativeFrom="page">
                  <wp:posOffset>336955</wp:posOffset>
                </wp:positionV>
                <wp:extent cx="4147820" cy="52006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7AF6" w14:textId="77777777" w:rsidR="00EC08E6" w:rsidRPr="00321668" w:rsidRDefault="00EC08E6" w:rsidP="00EC08E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2166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Process a Data Asset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8741B" id="Text Box 3" o:spid="_x0000_s1027" type="#_x0000_t202" style="position:absolute;left:0;text-align:left;margin-left:231.4pt;margin-top:26.55pt;width:326.6pt;height:40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" filled="f" stroked="f">
                <v:textbox style="mso-fit-shape-to-text:t">
                  <w:txbxContent>
                    <w:p w14:paraId="56C17AF6" w14:textId="77777777" w:rsidR="00EC08E6" w:rsidRPr="00321668" w:rsidRDefault="00EC08E6" w:rsidP="00EC08E6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2166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Process a Data Asset Submission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79EB">
        <w:t xml:space="preserve">the screen </w:t>
      </w:r>
      <w:r w:rsidR="004F469F">
        <w:t>and</w:t>
      </w:r>
      <w:r>
        <w:t xml:space="preserve">, in the Change Data Asset Status dialog box, in the </w:t>
      </w:r>
      <w:r w:rsidRPr="00474B65">
        <w:rPr>
          <w:b/>
        </w:rPr>
        <w:t>Action</w:t>
      </w:r>
      <w:r>
        <w:t xml:space="preserve"> field, select </w:t>
      </w:r>
      <w:r>
        <w:rPr>
          <w:noProof/>
          <w:lang w:eastAsia="en-AU"/>
        </w:rPr>
        <w:drawing>
          <wp:inline distT="0" distB="0" distL="0" distR="0" wp14:anchorId="0B6464C3" wp14:editId="257A40EB">
            <wp:extent cx="162000" cy="180000"/>
            <wp:effectExtent l="19050" t="19050" r="9525" b="10795"/>
            <wp:docPr id="23" name="Picture 2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select </w:t>
      </w:r>
      <w:r>
        <w:rPr>
          <w:i/>
        </w:rPr>
        <w:t>Process</w:t>
      </w:r>
      <w:r>
        <w:t>.</w:t>
      </w:r>
    </w:p>
    <w:p w14:paraId="148B7F24" w14:textId="77777777" w:rsidR="00AD3A91" w:rsidRDefault="00AD3A91" w:rsidP="00AD3A91">
      <w:pPr>
        <w:pStyle w:val="QRGNumbering1"/>
      </w:pPr>
      <w:r>
        <w:t xml:space="preserve">To process the data asset, select </w:t>
      </w:r>
      <w:r w:rsidR="0020377B">
        <w:rPr>
          <w:noProof/>
          <w:lang w:eastAsia="en-AU"/>
        </w:rPr>
        <w:drawing>
          <wp:inline distT="0" distB="0" distL="0" distR="0" wp14:anchorId="5E193410" wp14:editId="07EF289A">
            <wp:extent cx="540000" cy="180000"/>
            <wp:effectExtent l="19050" t="19050" r="12700" b="10795"/>
            <wp:docPr id="935" name="Picture 935" title="the Prcoes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0377B">
        <w:t>.</w:t>
      </w:r>
    </w:p>
    <w:p w14:paraId="46994824" w14:textId="77777777" w:rsidR="00D87BAA" w:rsidRDefault="000A62AF" w:rsidP="00E07917">
      <w:pPr>
        <w:pStyle w:val="QRGText"/>
      </w:pPr>
      <w:r>
        <w:t>The data a</w:t>
      </w:r>
      <w:r w:rsidR="00377A0F">
        <w:t xml:space="preserve">sset’s status will change to </w:t>
      </w:r>
      <w:r w:rsidR="00377A0F" w:rsidRPr="000A62AF">
        <w:rPr>
          <w:i/>
        </w:rPr>
        <w:t>Processed</w:t>
      </w:r>
      <w:r>
        <w:t xml:space="preserve"> and the processing of the data asset is now complete.</w:t>
      </w:r>
      <w:r w:rsidR="00C53869">
        <w:t xml:space="preserve"> </w:t>
      </w:r>
      <w:r w:rsidR="00790A87">
        <w:t>The da</w:t>
      </w:r>
      <w:r w:rsidR="006D0B9B">
        <w:t xml:space="preserve">ta asset can now be published </w:t>
      </w:r>
      <w:r w:rsidR="00EE50E8">
        <w:t>if</w:t>
      </w:r>
      <w:r w:rsidR="00790A87">
        <w:t xml:space="preserve"> required.</w:t>
      </w:r>
      <w:r w:rsidR="00EC08E6" w:rsidRPr="00EC08E6">
        <w:rPr>
          <w:rFonts w:ascii="Times New Roman" w:hAnsi="Times New Roman"/>
          <w:noProof/>
          <w:lang w:eastAsia="en-AU"/>
        </w:rPr>
        <w:t xml:space="preserve"> </w:t>
      </w:r>
    </w:p>
    <w:sectPr w:rsidR="00D87BAA" w:rsidSect="00782337">
      <w:type w:val="continuous"/>
      <w:pgSz w:w="11906" w:h="16838" w:code="9"/>
      <w:pgMar w:top="2127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9F85" w14:textId="77777777" w:rsidR="003321B9" w:rsidRDefault="003321B9" w:rsidP="00AF798B">
      <w:pPr>
        <w:spacing w:before="0" w:after="0"/>
      </w:pPr>
      <w:r>
        <w:separator/>
      </w:r>
    </w:p>
    <w:p w14:paraId="09EA76C7" w14:textId="77777777" w:rsidR="003321B9" w:rsidRDefault="003321B9"/>
  </w:endnote>
  <w:endnote w:type="continuationSeparator" w:id="0">
    <w:p w14:paraId="37BFD505" w14:textId="77777777" w:rsidR="003321B9" w:rsidRDefault="003321B9" w:rsidP="00AF798B">
      <w:pPr>
        <w:spacing w:before="0" w:after="0"/>
      </w:pPr>
      <w:r>
        <w:continuationSeparator/>
      </w:r>
    </w:p>
    <w:p w14:paraId="555BFC3B" w14:textId="77777777" w:rsidR="003321B9" w:rsidRDefault="00332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6D69176F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9056DA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EC08E6">
              <w:rPr>
                <w:noProof/>
              </w:rPr>
              <w:fldChar w:fldCharType="begin"/>
            </w:r>
            <w:r w:rsidR="00EC08E6">
              <w:rPr>
                <w:noProof/>
              </w:rPr>
              <w:instrText xml:space="preserve"> NUMPAGES  </w:instrText>
            </w:r>
            <w:r w:rsidR="00EC08E6">
              <w:rPr>
                <w:noProof/>
              </w:rPr>
              <w:fldChar w:fldCharType="separate"/>
            </w:r>
            <w:r w:rsidR="009056DA">
              <w:rPr>
                <w:noProof/>
              </w:rPr>
              <w:t>2</w:t>
            </w:r>
            <w:r w:rsidR="00EC08E6">
              <w:rPr>
                <w:noProof/>
              </w:rPr>
              <w:fldChar w:fldCharType="end"/>
            </w:r>
          </w:p>
        </w:sdtContent>
      </w:sdt>
    </w:sdtContent>
  </w:sdt>
  <w:p w14:paraId="73B4F954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DF62" w14:textId="77777777" w:rsidR="003321B9" w:rsidRDefault="003321B9" w:rsidP="00AF798B">
      <w:pPr>
        <w:spacing w:before="0" w:after="0"/>
      </w:pPr>
      <w:r>
        <w:separator/>
      </w:r>
    </w:p>
    <w:p w14:paraId="0053ABC4" w14:textId="77777777" w:rsidR="003321B9" w:rsidRDefault="003321B9"/>
  </w:footnote>
  <w:footnote w:type="continuationSeparator" w:id="0">
    <w:p w14:paraId="526524E5" w14:textId="77777777" w:rsidR="003321B9" w:rsidRDefault="003321B9" w:rsidP="00AF798B">
      <w:pPr>
        <w:spacing w:before="0" w:after="0"/>
      </w:pPr>
      <w:r>
        <w:continuationSeparator/>
      </w:r>
    </w:p>
    <w:p w14:paraId="0D4544F4" w14:textId="77777777" w:rsidR="003321B9" w:rsidRDefault="003321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F2CA" w14:textId="4EAF362D" w:rsidR="00AF798B" w:rsidRPr="000767A1" w:rsidRDefault="008E2333" w:rsidP="000767A1">
    <w:pPr>
      <w:pStyle w:val="QRGheadergood"/>
    </w:pPr>
    <w:r>
      <w:drawing>
        <wp:anchor distT="0" distB="0" distL="114300" distR="114300" simplePos="0" relativeHeight="251658752" behindDoc="0" locked="0" layoutInCell="1" allowOverlap="1" wp14:anchorId="32BE3417" wp14:editId="66929158">
          <wp:simplePos x="0" y="0"/>
          <wp:positionH relativeFrom="column">
            <wp:posOffset>-169545</wp:posOffset>
          </wp:positionH>
          <wp:positionV relativeFrom="paragraph">
            <wp:posOffset>38735</wp:posOffset>
          </wp:positionV>
          <wp:extent cx="2516505" cy="744855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B5C6C" w:rsidRPr="000628A2">
      <w:drawing>
        <wp:anchor distT="0" distB="0" distL="114300" distR="114300" simplePos="0" relativeHeight="251657728" behindDoc="0" locked="0" layoutInCell="1" allowOverlap="1" wp14:anchorId="7EA465A4" wp14:editId="03DC43E3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8" name="Picture 8" descr="Top banner showing the Department of Health crest and the &quot;Process a Data Asset Submission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DEF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7E85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AEF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60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8A9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CC5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E0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521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2A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CE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DE4CAF7E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AA"/>
    <w:rsid w:val="00003743"/>
    <w:rsid w:val="0002128E"/>
    <w:rsid w:val="00056198"/>
    <w:rsid w:val="00060CB2"/>
    <w:rsid w:val="00067456"/>
    <w:rsid w:val="000767A1"/>
    <w:rsid w:val="00092FBC"/>
    <w:rsid w:val="000A256F"/>
    <w:rsid w:val="000A62AF"/>
    <w:rsid w:val="000A70E5"/>
    <w:rsid w:val="000C7BD5"/>
    <w:rsid w:val="000E3CDD"/>
    <w:rsid w:val="00135C0E"/>
    <w:rsid w:val="001B3443"/>
    <w:rsid w:val="001F43A1"/>
    <w:rsid w:val="001F6964"/>
    <w:rsid w:val="00200606"/>
    <w:rsid w:val="0020313B"/>
    <w:rsid w:val="0020377B"/>
    <w:rsid w:val="002A14B7"/>
    <w:rsid w:val="002D095E"/>
    <w:rsid w:val="002E4840"/>
    <w:rsid w:val="0030786C"/>
    <w:rsid w:val="00313943"/>
    <w:rsid w:val="00316F6F"/>
    <w:rsid w:val="00321668"/>
    <w:rsid w:val="003321B9"/>
    <w:rsid w:val="00377A0F"/>
    <w:rsid w:val="003824B8"/>
    <w:rsid w:val="003964D7"/>
    <w:rsid w:val="003D17F9"/>
    <w:rsid w:val="003D3A1F"/>
    <w:rsid w:val="003F26C8"/>
    <w:rsid w:val="003F2957"/>
    <w:rsid w:val="00406309"/>
    <w:rsid w:val="0041771E"/>
    <w:rsid w:val="00433AD6"/>
    <w:rsid w:val="004441AF"/>
    <w:rsid w:val="004867E2"/>
    <w:rsid w:val="004A7277"/>
    <w:rsid w:val="004B0826"/>
    <w:rsid w:val="004C4753"/>
    <w:rsid w:val="004D58AA"/>
    <w:rsid w:val="004E79EB"/>
    <w:rsid w:val="004F447B"/>
    <w:rsid w:val="004F469F"/>
    <w:rsid w:val="004F76E5"/>
    <w:rsid w:val="0054433A"/>
    <w:rsid w:val="00571F4D"/>
    <w:rsid w:val="0057671C"/>
    <w:rsid w:val="0058320B"/>
    <w:rsid w:val="005B6BDB"/>
    <w:rsid w:val="00607DF1"/>
    <w:rsid w:val="00626300"/>
    <w:rsid w:val="00626315"/>
    <w:rsid w:val="00665D42"/>
    <w:rsid w:val="006C4A4D"/>
    <w:rsid w:val="006D0B9B"/>
    <w:rsid w:val="006D260B"/>
    <w:rsid w:val="006F15B8"/>
    <w:rsid w:val="00705BE7"/>
    <w:rsid w:val="00706011"/>
    <w:rsid w:val="007426D9"/>
    <w:rsid w:val="00753FC3"/>
    <w:rsid w:val="00782337"/>
    <w:rsid w:val="00782BAA"/>
    <w:rsid w:val="00790A87"/>
    <w:rsid w:val="0079108D"/>
    <w:rsid w:val="00792542"/>
    <w:rsid w:val="00793165"/>
    <w:rsid w:val="007A41CA"/>
    <w:rsid w:val="007C4D6B"/>
    <w:rsid w:val="007F6326"/>
    <w:rsid w:val="007F7E9D"/>
    <w:rsid w:val="008124D5"/>
    <w:rsid w:val="008201F9"/>
    <w:rsid w:val="008264EB"/>
    <w:rsid w:val="0086094A"/>
    <w:rsid w:val="00867F5E"/>
    <w:rsid w:val="00870FC6"/>
    <w:rsid w:val="00871C17"/>
    <w:rsid w:val="008B186D"/>
    <w:rsid w:val="008D22B5"/>
    <w:rsid w:val="008D5CEF"/>
    <w:rsid w:val="008E0583"/>
    <w:rsid w:val="008E2333"/>
    <w:rsid w:val="009056DA"/>
    <w:rsid w:val="00924B74"/>
    <w:rsid w:val="009331AA"/>
    <w:rsid w:val="00942E04"/>
    <w:rsid w:val="00945A04"/>
    <w:rsid w:val="009572AB"/>
    <w:rsid w:val="00957CDD"/>
    <w:rsid w:val="009834E2"/>
    <w:rsid w:val="009A3F50"/>
    <w:rsid w:val="009B5C6C"/>
    <w:rsid w:val="009C621E"/>
    <w:rsid w:val="00A15268"/>
    <w:rsid w:val="00A24775"/>
    <w:rsid w:val="00A43814"/>
    <w:rsid w:val="00A4512D"/>
    <w:rsid w:val="00A6070D"/>
    <w:rsid w:val="00A705AF"/>
    <w:rsid w:val="00AB102A"/>
    <w:rsid w:val="00AD1CD6"/>
    <w:rsid w:val="00AD3A91"/>
    <w:rsid w:val="00AF38EB"/>
    <w:rsid w:val="00AF798B"/>
    <w:rsid w:val="00B06089"/>
    <w:rsid w:val="00B13265"/>
    <w:rsid w:val="00B24C0D"/>
    <w:rsid w:val="00B42851"/>
    <w:rsid w:val="00BD6234"/>
    <w:rsid w:val="00C03301"/>
    <w:rsid w:val="00C21EC4"/>
    <w:rsid w:val="00C41FA2"/>
    <w:rsid w:val="00C53869"/>
    <w:rsid w:val="00C84175"/>
    <w:rsid w:val="00CB5B1A"/>
    <w:rsid w:val="00CB70AA"/>
    <w:rsid w:val="00CF536F"/>
    <w:rsid w:val="00CF6335"/>
    <w:rsid w:val="00D04E4F"/>
    <w:rsid w:val="00D14831"/>
    <w:rsid w:val="00D471CF"/>
    <w:rsid w:val="00D50535"/>
    <w:rsid w:val="00D53109"/>
    <w:rsid w:val="00D66381"/>
    <w:rsid w:val="00D77A10"/>
    <w:rsid w:val="00D87BAA"/>
    <w:rsid w:val="00D9503A"/>
    <w:rsid w:val="00DB3823"/>
    <w:rsid w:val="00DD47C6"/>
    <w:rsid w:val="00DF189B"/>
    <w:rsid w:val="00DF371B"/>
    <w:rsid w:val="00DF6B0E"/>
    <w:rsid w:val="00E07917"/>
    <w:rsid w:val="00E15715"/>
    <w:rsid w:val="00E86796"/>
    <w:rsid w:val="00EB6A7A"/>
    <w:rsid w:val="00EC08E6"/>
    <w:rsid w:val="00EC50CA"/>
    <w:rsid w:val="00EE50E8"/>
    <w:rsid w:val="00F034F2"/>
    <w:rsid w:val="00F41003"/>
    <w:rsid w:val="00F4136D"/>
    <w:rsid w:val="00F47396"/>
    <w:rsid w:val="00F735B2"/>
    <w:rsid w:val="00F906C7"/>
    <w:rsid w:val="00FA08F8"/>
    <w:rsid w:val="00FB4582"/>
    <w:rsid w:val="00FE495C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42EE5"/>
  <w15:docId w15:val="{0298DCE8-F546-412E-AD82-D9588AA5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character" w:styleId="CommentReference">
    <w:name w:val="annotation reference"/>
    <w:basedOn w:val="DefaultParagraphFont"/>
    <w:semiHidden/>
    <w:unhideWhenUsed/>
    <w:rsid w:val="00A247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4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4775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4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4775"/>
    <w:rPr>
      <w:rFonts w:ascii="Tahoma" w:hAnsi="Tahoma"/>
      <w:b/>
      <w:bCs/>
      <w:lang w:eastAsia="en-US"/>
    </w:rPr>
  </w:style>
  <w:style w:type="character" w:styleId="Hyperlink">
    <w:name w:val="Hyperlink"/>
    <w:basedOn w:val="DefaultParagraphFont"/>
    <w:unhideWhenUsed/>
    <w:rsid w:val="00092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portal.health.gov.a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217F-5B65-49EC-896D-30E125C4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a Data Asset Submission</vt:lpstr>
    </vt:vector>
  </TitlesOfParts>
  <Company>Department of Immigration and Border Protection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a Data Asset Submission</dc:title>
  <dc:creator>Joel Dennerley</dc:creator>
  <cp:lastModifiedBy>DUNN, Stuart</cp:lastModifiedBy>
  <cp:revision>70</cp:revision>
  <dcterms:created xsi:type="dcterms:W3CDTF">2018-01-22T05:12:00Z</dcterms:created>
  <dcterms:modified xsi:type="dcterms:W3CDTF">2022-11-14T04:21:00Z</dcterms:modified>
</cp:coreProperties>
</file>