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20729" w14:textId="1388D379" w:rsidR="00820007" w:rsidRDefault="00820007" w:rsidP="00414F88">
      <w:pPr>
        <w:pStyle w:val="QRGText"/>
        <w:rPr>
          <w:lang w:eastAsia="en-AU"/>
        </w:rPr>
      </w:pPr>
      <w:r w:rsidRPr="00A529B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CDEB0" wp14:editId="4B6C20DE">
                <wp:simplePos x="0" y="0"/>
                <wp:positionH relativeFrom="column">
                  <wp:posOffset>2849880</wp:posOffset>
                </wp:positionH>
                <wp:positionV relativeFrom="paragraph">
                  <wp:posOffset>-913129</wp:posOffset>
                </wp:positionV>
                <wp:extent cx="4147820" cy="533400"/>
                <wp:effectExtent l="0" t="0" r="0" b="0"/>
                <wp:wrapNone/>
                <wp:docPr id="26" name="Text Box 26" title="Approve an IHDR Data Asset Submiss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82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55FA3" w14:textId="1BB6097A" w:rsidR="00820007" w:rsidRPr="00F2241F" w:rsidRDefault="00820007" w:rsidP="0082000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Navigate Form</w:t>
                            </w:r>
                            <w:r w:rsidR="00A8486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in the </w:t>
                            </w:r>
                            <w:r w:rsidR="003B643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Health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Data Portal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CDEB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alt="Title: Approve an IHDR Data Asset Submission" style="position:absolute;margin-left:224.4pt;margin-top:-71.9pt;width:326.6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" filled="f" stroked="f">
                <v:textbox>
                  <w:txbxContent>
                    <w:p w14:paraId="37E55FA3" w14:textId="1BB6097A" w:rsidR="00820007" w:rsidRPr="00F2241F" w:rsidRDefault="00820007" w:rsidP="00820007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Navigate Form</w:t>
                      </w:r>
                      <w:r w:rsidR="00A8486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in the </w:t>
                      </w:r>
                      <w:r w:rsidR="003B643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Health 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Data Portal</w:t>
                      </w:r>
                    </w:p>
                  </w:txbxContent>
                </v:textbox>
              </v:shape>
            </w:pict>
          </mc:Fallback>
        </mc:AlternateContent>
      </w:r>
      <w:r w:rsidR="005C743D">
        <w:rPr>
          <w:lang w:eastAsia="en-AU"/>
        </w:rPr>
        <w:t>T</w:t>
      </w:r>
      <w:r w:rsidR="004918F2">
        <w:rPr>
          <w:lang w:eastAsia="en-AU"/>
        </w:rPr>
        <w:t xml:space="preserve">here are </w:t>
      </w:r>
      <w:proofErr w:type="gramStart"/>
      <w:r w:rsidR="004918F2">
        <w:rPr>
          <w:lang w:eastAsia="en-AU"/>
        </w:rPr>
        <w:t>several</w:t>
      </w:r>
      <w:proofErr w:type="gramEnd"/>
      <w:r w:rsidR="004918F2">
        <w:rPr>
          <w:lang w:eastAsia="en-AU"/>
        </w:rPr>
        <w:t xml:space="preserve"> tasks that can be completed within </w:t>
      </w:r>
      <w:r w:rsidR="005C743D">
        <w:rPr>
          <w:lang w:eastAsia="en-AU"/>
        </w:rPr>
        <w:t>an Indigenous health data reporting</w:t>
      </w:r>
      <w:r w:rsidR="004918F2">
        <w:rPr>
          <w:lang w:eastAsia="en-AU"/>
        </w:rPr>
        <w:t xml:space="preserve"> form to help </w:t>
      </w:r>
      <w:r w:rsidR="006844E7">
        <w:rPr>
          <w:lang w:eastAsia="en-AU"/>
        </w:rPr>
        <w:t>h</w:t>
      </w:r>
      <w:r w:rsidR="005B2194">
        <w:rPr>
          <w:lang w:eastAsia="en-AU"/>
        </w:rPr>
        <w:t xml:space="preserve">ealth </w:t>
      </w:r>
      <w:r w:rsidR="006844E7">
        <w:rPr>
          <w:lang w:eastAsia="en-AU"/>
        </w:rPr>
        <w:t>s</w:t>
      </w:r>
      <w:r w:rsidR="005B2194">
        <w:rPr>
          <w:lang w:eastAsia="en-AU"/>
        </w:rPr>
        <w:t>ervice users</w:t>
      </w:r>
      <w:r w:rsidR="004918F2">
        <w:rPr>
          <w:lang w:eastAsia="en-AU"/>
        </w:rPr>
        <w:t xml:space="preserve"> submit </w:t>
      </w:r>
      <w:r w:rsidR="005B2194">
        <w:rPr>
          <w:lang w:eastAsia="en-AU"/>
        </w:rPr>
        <w:t>their</w:t>
      </w:r>
      <w:r w:rsidR="004918F2">
        <w:rPr>
          <w:lang w:eastAsia="en-AU"/>
        </w:rPr>
        <w:t xml:space="preserve"> data through the Data Portal as quickly and accurately as possible.</w:t>
      </w:r>
    </w:p>
    <w:p w14:paraId="67A9AB30" w14:textId="02CE9A3E" w:rsidR="00CE0B46" w:rsidRDefault="00CE0B46" w:rsidP="00414F88">
      <w:pPr>
        <w:pStyle w:val="QRGText"/>
        <w:rPr>
          <w:lang w:eastAsia="en-AU"/>
        </w:rPr>
      </w:pPr>
      <w:r w:rsidRPr="00793D6C">
        <w:rPr>
          <w:noProof/>
          <w:lang w:eastAsia="en-AU"/>
        </w:rPr>
        <w:drawing>
          <wp:inline distT="0" distB="0" distL="0" distR="0" wp14:anchorId="4AD7EC65" wp14:editId="5894CBB6">
            <wp:extent cx="252000" cy="252000"/>
            <wp:effectExtent l="0" t="0" r="0" b="0"/>
            <wp:docPr id="1" name="Picture 1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AU"/>
        </w:rPr>
        <w:t xml:space="preserve"> The screenshot below displays the nKPI form but each of the form sections detailed below are also present in the OSR</w:t>
      </w:r>
      <w:r w:rsidR="00685B2A">
        <w:rPr>
          <w:lang w:eastAsia="en-AU"/>
        </w:rPr>
        <w:t xml:space="preserve">, </w:t>
      </w:r>
      <w:r w:rsidR="005C743D">
        <w:rPr>
          <w:lang w:eastAsia="en-AU"/>
        </w:rPr>
        <w:t xml:space="preserve">IAHP PHC </w:t>
      </w:r>
      <w:r w:rsidR="00A8486E">
        <w:rPr>
          <w:lang w:eastAsia="en-AU"/>
        </w:rPr>
        <w:t>Performance Report</w:t>
      </w:r>
      <w:r w:rsidR="00685B2A">
        <w:rPr>
          <w:lang w:eastAsia="en-AU"/>
        </w:rPr>
        <w:t xml:space="preserve"> and </w:t>
      </w:r>
      <w:r w:rsidR="005C743D">
        <w:rPr>
          <w:lang w:eastAsia="en-AU"/>
        </w:rPr>
        <w:t xml:space="preserve">IAHP PHC </w:t>
      </w:r>
      <w:r w:rsidR="00685B2A">
        <w:rPr>
          <w:lang w:eastAsia="en-AU"/>
        </w:rPr>
        <w:t>Activity Work Plan (AWP)</w:t>
      </w:r>
      <w:r>
        <w:rPr>
          <w:lang w:eastAsia="en-AU"/>
        </w:rPr>
        <w:t xml:space="preserve"> form</w:t>
      </w:r>
      <w:r w:rsidR="00A8486E">
        <w:rPr>
          <w:lang w:eastAsia="en-AU"/>
        </w:rPr>
        <w:t>s</w:t>
      </w:r>
      <w:r>
        <w:rPr>
          <w:lang w:eastAsia="en-AU"/>
        </w:rPr>
        <w:t>.</w:t>
      </w:r>
    </w:p>
    <w:p w14:paraId="73193942" w14:textId="77777777" w:rsidR="00941EA6" w:rsidRPr="00941EA6" w:rsidRDefault="00941EA6" w:rsidP="00941EA6">
      <w:pPr>
        <w:pStyle w:val="QRGPictureCentre"/>
      </w:pPr>
      <w:r>
        <w:drawing>
          <wp:inline distT="0" distB="0" distL="0" distR="0" wp14:anchorId="5F57E9F8" wp14:editId="4AB7BBAA">
            <wp:extent cx="6661150" cy="3663315"/>
            <wp:effectExtent l="19050" t="19050" r="25400" b="13335"/>
            <wp:docPr id="12" name="Picture 12" descr="Picture of the nKPI form, with all the elements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ntitl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36633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9B69D9A" w14:textId="77777777" w:rsidR="00941EA6" w:rsidRPr="00941EA6" w:rsidRDefault="00941EA6" w:rsidP="00941EA6">
      <w:pPr>
        <w:pStyle w:val="QRGText"/>
        <w:rPr>
          <w:lang w:eastAsia="en-AU"/>
        </w:rPr>
        <w:sectPr w:rsidR="00941EA6" w:rsidRPr="00941EA6" w:rsidSect="00820007">
          <w:headerReference w:type="default" r:id="rId10"/>
          <w:footerReference w:type="default" r:id="rId11"/>
          <w:type w:val="continuous"/>
          <w:pgSz w:w="11906" w:h="16838" w:code="9"/>
          <w:pgMar w:top="1843" w:right="849" w:bottom="851" w:left="567" w:header="284" w:footer="0" w:gutter="0"/>
          <w:cols w:space="708"/>
          <w:docGrid w:linePitch="360"/>
        </w:sectPr>
      </w:pPr>
    </w:p>
    <w:p w14:paraId="5DC8E3E7" w14:textId="77777777" w:rsidR="00F311D8" w:rsidRDefault="0082540D" w:rsidP="00F311D8">
      <w:pPr>
        <w:pStyle w:val="QRGHeading"/>
      </w:pPr>
      <w:r>
        <w:t>1. Cancel and Go Back to Overview</w:t>
      </w:r>
    </w:p>
    <w:p w14:paraId="7EDBEF47" w14:textId="3D69718A" w:rsidR="0082540D" w:rsidRDefault="00000000" w:rsidP="0082540D">
      <w:pPr>
        <w:pStyle w:val="QRGText"/>
      </w:pPr>
      <w:r>
        <w:pict w14:anchorId="05A74A2B">
          <v:shape id="_x0000_i1027" type="#_x0000_t75" alt="Title: Cancel and Go Back to Overview" style="width:10.5pt;height:15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">
            <v:imagedata r:id="rId12" o:title=""/>
          </v:shape>
        </w:pict>
      </w:r>
      <w:r w:rsidR="0082540D">
        <w:t xml:space="preserve"> - Allows </w:t>
      </w:r>
      <w:r w:rsidR="005B2194">
        <w:t>the user</w:t>
      </w:r>
      <w:r w:rsidR="0082540D">
        <w:t xml:space="preserve"> to quickly navigate away from the </w:t>
      </w:r>
      <w:r w:rsidR="00221391">
        <w:t xml:space="preserve">form, </w:t>
      </w:r>
      <w:r w:rsidR="007C32DE">
        <w:t xml:space="preserve">back </w:t>
      </w:r>
      <w:r w:rsidR="007359CA">
        <w:t xml:space="preserve">to the Data </w:t>
      </w:r>
      <w:r w:rsidR="00815209">
        <w:t xml:space="preserve">Portal </w:t>
      </w:r>
      <w:r w:rsidR="00A8486E">
        <w:t>h</w:t>
      </w:r>
      <w:r w:rsidR="00815209">
        <w:t>ome</w:t>
      </w:r>
      <w:r w:rsidR="007359CA">
        <w:t xml:space="preserve"> screen.</w:t>
      </w:r>
    </w:p>
    <w:p w14:paraId="5677793E" w14:textId="77777777" w:rsidR="0046641E" w:rsidRDefault="0046641E" w:rsidP="0046641E">
      <w:pPr>
        <w:pStyle w:val="QRGHeading"/>
      </w:pPr>
      <w:r>
        <w:t>2. The Indicators/</w:t>
      </w:r>
      <w:r w:rsidR="00221391">
        <w:t>Sections Tabs</w:t>
      </w:r>
    </w:p>
    <w:p w14:paraId="76FCB99C" w14:textId="03B35B4D" w:rsidR="00D52F8B" w:rsidRPr="00D52F8B" w:rsidRDefault="00D52F8B" w:rsidP="00D52F8B">
      <w:pPr>
        <w:pStyle w:val="QRGPictureCentre"/>
      </w:pPr>
      <w:r>
        <w:drawing>
          <wp:inline distT="0" distB="0" distL="0" distR="0" wp14:anchorId="52E57142" wp14:editId="5070D7B1">
            <wp:extent cx="871200" cy="2700000"/>
            <wp:effectExtent l="19050" t="19050" r="24765" b="24765"/>
            <wp:docPr id="4" name="Picture 4" descr="picture of the list of indicators that display on the left hand side of the nKPI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icture of the list of indicators that display on the left hand side of the nKPI for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00" cy="27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BFF86AF" w14:textId="1135864A" w:rsidR="0046641E" w:rsidRDefault="0046641E" w:rsidP="0082540D">
      <w:pPr>
        <w:pStyle w:val="QRGText"/>
      </w:pPr>
      <w:r>
        <w:t xml:space="preserve">Allow </w:t>
      </w:r>
      <w:r w:rsidR="005B2194">
        <w:t>the user</w:t>
      </w:r>
      <w:r>
        <w:t xml:space="preserve"> to move through the different sections of the form by selecting the appropriate tab from the left-hand side of the </w:t>
      </w:r>
      <w:r w:rsidR="00221391">
        <w:t>form</w:t>
      </w:r>
      <w:r>
        <w:t xml:space="preserve">. </w:t>
      </w:r>
    </w:p>
    <w:p w14:paraId="34DE968E" w14:textId="77777777" w:rsidR="000C3FC4" w:rsidRDefault="000C3FC4" w:rsidP="0082540D">
      <w:pPr>
        <w:pStyle w:val="QRGText"/>
      </w:pPr>
      <w:r>
        <w:t xml:space="preserve">A </w:t>
      </w:r>
      <w:r>
        <w:rPr>
          <w:noProof/>
          <w:lang w:eastAsia="en-AU"/>
        </w:rPr>
        <w:drawing>
          <wp:inline distT="0" distB="0" distL="0" distR="0" wp14:anchorId="7BAFB537" wp14:editId="1EC7F4B2">
            <wp:extent cx="169200" cy="180000"/>
            <wp:effectExtent l="19050" t="19050" r="21590" b="10795"/>
            <wp:docPr id="7" name="Picture 7" descr="Open notifications tray - some comments require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will display on any </w:t>
      </w:r>
      <w:r w:rsidR="00221391">
        <w:t>indicators/sections</w:t>
      </w:r>
      <w:r>
        <w:t xml:space="preserve"> containing data validation </w:t>
      </w:r>
      <w:r w:rsidR="00CE0B46">
        <w:t>flags</w:t>
      </w:r>
      <w:r>
        <w:t xml:space="preserve"> that need to </w:t>
      </w:r>
      <w:proofErr w:type="gramStart"/>
      <w:r>
        <w:t xml:space="preserve">be </w:t>
      </w:r>
      <w:r w:rsidR="00CE0B46">
        <w:t>addressed</w:t>
      </w:r>
      <w:proofErr w:type="gramEnd"/>
      <w:r>
        <w:t>.</w:t>
      </w:r>
    </w:p>
    <w:p w14:paraId="5A429B27" w14:textId="77777777" w:rsidR="0046641E" w:rsidRDefault="00221391" w:rsidP="0082540D">
      <w:pPr>
        <w:pStyle w:val="QRGText"/>
      </w:pPr>
      <w:r>
        <w:t>The tabs</w:t>
      </w:r>
      <w:r w:rsidR="0046641E">
        <w:t xml:space="preserve"> can </w:t>
      </w:r>
      <w:proofErr w:type="gramStart"/>
      <w:r w:rsidR="0046641E">
        <w:t>b</w:t>
      </w:r>
      <w:r w:rsidR="000C3FC4">
        <w:t>e hidden</w:t>
      </w:r>
      <w:proofErr w:type="gramEnd"/>
      <w:r w:rsidR="000C3FC4">
        <w:t xml:space="preserve"> if needed </w:t>
      </w:r>
      <w:r w:rsidR="00CE0B46">
        <w:t xml:space="preserve">by selecting </w:t>
      </w:r>
      <w:r w:rsidR="0046641E">
        <w:rPr>
          <w:noProof/>
          <w:lang w:eastAsia="en-AU"/>
        </w:rPr>
        <w:drawing>
          <wp:inline distT="0" distB="0" distL="0" distR="0" wp14:anchorId="780311EC" wp14:editId="28D392F5">
            <wp:extent cx="158400" cy="180000"/>
            <wp:effectExtent l="19050" t="19050" r="13335" b="10795"/>
            <wp:docPr id="5" name="Picture 5" title="Hide Tab Navig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E0B46">
        <w:t xml:space="preserve"> at the bottom of the </w:t>
      </w:r>
      <w:r>
        <w:t>list</w:t>
      </w:r>
      <w:r w:rsidR="00941EA6">
        <w:t xml:space="preserve"> (not shown here)</w:t>
      </w:r>
      <w:r w:rsidR="0046641E">
        <w:t>.</w:t>
      </w:r>
      <w:r w:rsidR="000C3FC4">
        <w:t xml:space="preserve"> The </w:t>
      </w:r>
      <w:r>
        <w:t>tabs</w:t>
      </w:r>
      <w:r w:rsidR="000C3FC4">
        <w:t xml:space="preserve"> can then </w:t>
      </w:r>
      <w:proofErr w:type="gramStart"/>
      <w:r w:rsidR="000C3FC4">
        <w:t>be reopened</w:t>
      </w:r>
      <w:proofErr w:type="gramEnd"/>
      <w:r w:rsidR="000C3FC4">
        <w:t xml:space="preserve"> </w:t>
      </w:r>
      <w:r w:rsidR="00CE0B46">
        <w:t xml:space="preserve">when needed </w:t>
      </w:r>
      <w:r w:rsidR="000C3FC4">
        <w:t xml:space="preserve">by selecting </w:t>
      </w:r>
      <w:r w:rsidR="000C3FC4">
        <w:rPr>
          <w:noProof/>
          <w:lang w:eastAsia="en-AU"/>
        </w:rPr>
        <w:drawing>
          <wp:inline distT="0" distB="0" distL="0" distR="0" wp14:anchorId="57B97D2C" wp14:editId="0203D55C">
            <wp:extent cx="176400" cy="180000"/>
            <wp:effectExtent l="19050" t="19050" r="14605" b="10795"/>
            <wp:docPr id="6" name="Picture 6" title="Show Tab Navig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C3FC4">
        <w:t>.</w:t>
      </w:r>
    </w:p>
    <w:p w14:paraId="484711A4" w14:textId="77777777" w:rsidR="000C3FC4" w:rsidRDefault="000C3FC4" w:rsidP="000C3FC4">
      <w:pPr>
        <w:pStyle w:val="QRGHeading"/>
      </w:pPr>
      <w:r>
        <w:t>3. Main Form Window</w:t>
      </w:r>
    </w:p>
    <w:p w14:paraId="697C9EB0" w14:textId="74B7E5B1" w:rsidR="000C3FC4" w:rsidRDefault="000C3FC4" w:rsidP="0082540D">
      <w:pPr>
        <w:pStyle w:val="QRGText"/>
      </w:pPr>
      <w:r>
        <w:t xml:space="preserve">This section of the </w:t>
      </w:r>
      <w:r w:rsidR="00221391">
        <w:t>form</w:t>
      </w:r>
      <w:r>
        <w:t xml:space="preserve"> contains the data entry cells for </w:t>
      </w:r>
      <w:r w:rsidR="00CE0B46">
        <w:t>the</w:t>
      </w:r>
      <w:r w:rsidR="000C54F9">
        <w:t xml:space="preserve"> selected </w:t>
      </w:r>
      <w:r>
        <w:t>indicator/</w:t>
      </w:r>
      <w:r w:rsidR="00221391">
        <w:t>section</w:t>
      </w:r>
      <w:r>
        <w:t xml:space="preserve"> </w:t>
      </w:r>
      <w:r w:rsidR="00E4525F">
        <w:t>on the left-hand side of the form.</w:t>
      </w:r>
    </w:p>
    <w:p w14:paraId="6CE0A52B" w14:textId="4DF39A48" w:rsidR="00941EA6" w:rsidRDefault="00E4525F" w:rsidP="0082540D">
      <w:pPr>
        <w:pStyle w:val="QRGText"/>
      </w:pPr>
      <w:r>
        <w:t xml:space="preserve">This is where data </w:t>
      </w:r>
      <w:proofErr w:type="gramStart"/>
      <w:r>
        <w:t>is entered</w:t>
      </w:r>
      <w:proofErr w:type="gramEnd"/>
      <w:r>
        <w:t xml:space="preserve"> in the form</w:t>
      </w:r>
      <w:r w:rsidR="00D215CD">
        <w:t>.</w:t>
      </w:r>
    </w:p>
    <w:p w14:paraId="012D5DA8" w14:textId="77777777" w:rsidR="00E4525F" w:rsidRPr="000A53CA" w:rsidRDefault="00941EA6" w:rsidP="000A53CA">
      <w:pPr>
        <w:spacing w:before="0" w:after="0"/>
        <w:rPr>
          <w:sz w:val="22"/>
        </w:rPr>
      </w:pPr>
      <w:r>
        <w:br w:type="page"/>
      </w:r>
    </w:p>
    <w:p w14:paraId="446EB366" w14:textId="77777777" w:rsidR="00E4525F" w:rsidRDefault="000A53CA" w:rsidP="00E4525F">
      <w:pPr>
        <w:pStyle w:val="QRGHeading"/>
      </w:pPr>
      <w:r w:rsidRPr="00A529B8"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CCBC3" wp14:editId="69C09CAD">
                <wp:simplePos x="0" y="0"/>
                <wp:positionH relativeFrom="column">
                  <wp:posOffset>2859405</wp:posOffset>
                </wp:positionH>
                <wp:positionV relativeFrom="paragraph">
                  <wp:posOffset>-913129</wp:posOffset>
                </wp:positionV>
                <wp:extent cx="4147820" cy="495300"/>
                <wp:effectExtent l="0" t="0" r="0" b="0"/>
                <wp:wrapNone/>
                <wp:docPr id="36" name="Text Box 36" title="Approve an IHDR Data Asset Submiss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82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DF17D" w14:textId="4D9C5122" w:rsidR="00363367" w:rsidRPr="00F2241F" w:rsidRDefault="00363367" w:rsidP="0036336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Navigate Form</w:t>
                            </w:r>
                            <w:r w:rsidR="00A8486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in the Health Data Portal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CCBC3" id="Text Box 36" o:spid="_x0000_s1027" type="#_x0000_t202" alt="Title: Approve an IHDR Data Asset Submission" style="position:absolute;margin-left:225.15pt;margin-top:-71.9pt;width:326.6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" filled="f" stroked="f">
                <v:textbox>
                  <w:txbxContent>
                    <w:p w14:paraId="182DF17D" w14:textId="4D9C5122" w:rsidR="00363367" w:rsidRPr="00F2241F" w:rsidRDefault="00363367" w:rsidP="00363367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Navigate Form</w:t>
                      </w:r>
                      <w:r w:rsidR="00A8486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in the Health Data Portal</w:t>
                      </w:r>
                    </w:p>
                  </w:txbxContent>
                </v:textbox>
              </v:shape>
            </w:pict>
          </mc:Fallback>
        </mc:AlternateContent>
      </w:r>
      <w:r w:rsidR="00E4525F">
        <w:t xml:space="preserve">4. Open Notifications – </w:t>
      </w:r>
      <w:proofErr w:type="gramStart"/>
      <w:r w:rsidR="00E4525F">
        <w:t>Some</w:t>
      </w:r>
      <w:proofErr w:type="gramEnd"/>
      <w:r w:rsidR="00E4525F">
        <w:t xml:space="preserve"> comments require action</w:t>
      </w:r>
    </w:p>
    <w:p w14:paraId="65E520D4" w14:textId="77777777" w:rsidR="00507D0B" w:rsidRDefault="00507D0B" w:rsidP="00507D0B">
      <w:pPr>
        <w:pStyle w:val="QRGPictureCentre"/>
      </w:pPr>
      <w:r>
        <w:drawing>
          <wp:inline distT="0" distB="0" distL="0" distR="0" wp14:anchorId="325B91EC" wp14:editId="7DF9E851">
            <wp:extent cx="356400" cy="180000"/>
            <wp:effectExtent l="19050" t="19050" r="24765" b="10795"/>
            <wp:docPr id="45" name="Picture 45" title="Open Notifications - Some comments require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22942FA" w14:textId="7CC046CE" w:rsidR="000C3FC4" w:rsidRDefault="008F6A81" w:rsidP="0082540D">
      <w:pPr>
        <w:pStyle w:val="QRGText"/>
      </w:pPr>
      <w:r>
        <w:t xml:space="preserve">If there are </w:t>
      </w:r>
      <w:r w:rsidR="00D215CD">
        <w:t xml:space="preserve">any data </w:t>
      </w:r>
      <w:r>
        <w:t xml:space="preserve">validation flags </w:t>
      </w:r>
      <w:r w:rsidR="00D215CD">
        <w:t xml:space="preserve">that need to </w:t>
      </w:r>
      <w:proofErr w:type="gramStart"/>
      <w:r w:rsidR="00D215CD">
        <w:t>be addressed</w:t>
      </w:r>
      <w:proofErr w:type="gramEnd"/>
      <w:r>
        <w:t xml:space="preserve"> in a particular indicator/section of the form, </w:t>
      </w:r>
      <w:r>
        <w:rPr>
          <w:noProof/>
          <w:lang w:eastAsia="en-AU"/>
        </w:rPr>
        <w:drawing>
          <wp:inline distT="0" distB="0" distL="0" distR="0" wp14:anchorId="7752669B" wp14:editId="2F3739D4">
            <wp:extent cx="180000" cy="180000"/>
            <wp:effectExtent l="19050" t="19050" r="10795" b="10795"/>
            <wp:docPr id="9" name="Picture 9" title="picture of the data validations flag ic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will display</w:t>
      </w:r>
      <w:r w:rsidR="00CE0B46">
        <w:t xml:space="preserve"> in the blue </w:t>
      </w:r>
      <w:r w:rsidR="00CE0B46" w:rsidRPr="00CE0B46">
        <w:rPr>
          <w:i/>
        </w:rPr>
        <w:t>Submission Data</w:t>
      </w:r>
      <w:r w:rsidR="00CE0B46">
        <w:t xml:space="preserve"> bar at the top of the form</w:t>
      </w:r>
      <w:r>
        <w:t>.</w:t>
      </w:r>
    </w:p>
    <w:p w14:paraId="23FB421F" w14:textId="77777777" w:rsidR="008F6A81" w:rsidRDefault="008F6A81" w:rsidP="008F6A81">
      <w:pPr>
        <w:pStyle w:val="QRGText"/>
      </w:pPr>
      <w:r>
        <w:t xml:space="preserve">If there are any </w:t>
      </w:r>
      <w:r w:rsidR="00815209">
        <w:t xml:space="preserve">explanatory </w:t>
      </w:r>
      <w:r>
        <w:t xml:space="preserve">comments </w:t>
      </w:r>
      <w:r w:rsidR="00363367">
        <w:t xml:space="preserve">that have </w:t>
      </w:r>
      <w:proofErr w:type="gramStart"/>
      <w:r w:rsidR="00363367">
        <w:t>been added</w:t>
      </w:r>
      <w:proofErr w:type="gramEnd"/>
      <w:r w:rsidR="00363367">
        <w:t xml:space="preserve"> to the indicator/section by a user</w:t>
      </w:r>
      <w:r>
        <w:t xml:space="preserve">, </w:t>
      </w:r>
      <w:r w:rsidR="00D215CD">
        <w:rPr>
          <w:noProof/>
          <w:lang w:eastAsia="en-AU"/>
        </w:rPr>
        <w:drawing>
          <wp:inline distT="0" distB="0" distL="0" distR="0" wp14:anchorId="74B234AE" wp14:editId="739C0007">
            <wp:extent cx="183600" cy="180000"/>
            <wp:effectExtent l="0" t="0" r="6985" b="0"/>
            <wp:docPr id="29" name="Picture 29" title="picture of the comment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will display in this section.</w:t>
      </w:r>
    </w:p>
    <w:p w14:paraId="792455CE" w14:textId="77777777" w:rsidR="00363367" w:rsidRDefault="00363367" w:rsidP="008F6A81">
      <w:pPr>
        <w:pStyle w:val="QRGText"/>
      </w:pPr>
      <w:r>
        <w:t xml:space="preserve">To </w:t>
      </w:r>
      <w:r w:rsidR="00CE0B46">
        <w:t>view</w:t>
      </w:r>
      <w:r>
        <w:t xml:space="preserve"> the </w:t>
      </w:r>
      <w:r w:rsidR="007C32DE">
        <w:t xml:space="preserve">data </w:t>
      </w:r>
      <w:r>
        <w:t>validation flag/comment</w:t>
      </w:r>
      <w:r w:rsidR="00AB01DA">
        <w:t xml:space="preserve"> in the </w:t>
      </w:r>
      <w:r w:rsidR="00AB01DA" w:rsidRPr="00AB01DA">
        <w:rPr>
          <w:i/>
        </w:rPr>
        <w:t xml:space="preserve">Notifications </w:t>
      </w:r>
      <w:r w:rsidR="00AB01DA" w:rsidRPr="00221391">
        <w:rPr>
          <w:i/>
        </w:rPr>
        <w:t>Tray</w:t>
      </w:r>
      <w:r>
        <w:t>, simply select the applicable button.</w:t>
      </w:r>
    </w:p>
    <w:p w14:paraId="01FCC909" w14:textId="77777777" w:rsidR="0082540D" w:rsidRDefault="0046641E" w:rsidP="0082540D">
      <w:pPr>
        <w:pStyle w:val="QRGHeading"/>
      </w:pPr>
      <w:r>
        <w:t>5</w:t>
      </w:r>
      <w:r w:rsidR="0082540D">
        <w:t xml:space="preserve">. </w:t>
      </w:r>
      <w:r w:rsidR="00B0344A">
        <w:t>The Options Menu</w:t>
      </w:r>
    </w:p>
    <w:p w14:paraId="59B901DC" w14:textId="77777777" w:rsidR="00B14D8C" w:rsidRDefault="00B14D8C" w:rsidP="00B14D8C">
      <w:pPr>
        <w:pStyle w:val="QRGPictureCentre"/>
      </w:pPr>
      <w:r>
        <w:drawing>
          <wp:inline distT="0" distB="0" distL="0" distR="0" wp14:anchorId="42BA0075" wp14:editId="74B06257">
            <wp:extent cx="234000" cy="180000"/>
            <wp:effectExtent l="19050" t="19050" r="13970" b="10795"/>
            <wp:docPr id="28" name="Picture 28" title="Options menu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989397B" w14:textId="2CFED1B0" w:rsidR="0082540D" w:rsidRDefault="0082540D" w:rsidP="0082540D">
      <w:pPr>
        <w:pStyle w:val="QRGText"/>
      </w:pPr>
      <w:r>
        <w:t xml:space="preserve">The </w:t>
      </w:r>
      <w:r w:rsidRPr="005C743D">
        <w:rPr>
          <w:i/>
          <w:iCs/>
        </w:rPr>
        <w:t>Options Menu</w:t>
      </w:r>
      <w:r>
        <w:t xml:space="preserve"> </w:t>
      </w:r>
      <w:r w:rsidR="005C743D">
        <w:t>groups</w:t>
      </w:r>
      <w:r>
        <w:t xml:space="preserve"> </w:t>
      </w:r>
      <w:r w:rsidR="005C743D">
        <w:t xml:space="preserve">together additional </w:t>
      </w:r>
      <w:r>
        <w:t xml:space="preserve">functions that </w:t>
      </w:r>
      <w:r w:rsidR="005C743D">
        <w:t xml:space="preserve">can </w:t>
      </w:r>
      <w:proofErr w:type="gramStart"/>
      <w:r w:rsidR="005C743D">
        <w:t>be completed</w:t>
      </w:r>
      <w:proofErr w:type="gramEnd"/>
      <w:r w:rsidR="005C743D">
        <w:t xml:space="preserve"> from within the forms</w:t>
      </w:r>
      <w:r>
        <w:t>.</w:t>
      </w:r>
      <w:r w:rsidR="005C743D">
        <w:t xml:space="preserve"> </w:t>
      </w:r>
      <w:proofErr w:type="gramStart"/>
      <w:r w:rsidR="005C743D">
        <w:t>Some</w:t>
      </w:r>
      <w:proofErr w:type="gramEnd"/>
      <w:r w:rsidR="005C743D">
        <w:t xml:space="preserve"> functions will only be available in certain forms.</w:t>
      </w:r>
    </w:p>
    <w:p w14:paraId="106EE506" w14:textId="77777777" w:rsidR="0082540D" w:rsidRDefault="0082540D" w:rsidP="0082540D">
      <w:pPr>
        <w:pStyle w:val="QRGText"/>
      </w:pPr>
      <w:r>
        <w:t xml:space="preserve">The functions available through the </w:t>
      </w:r>
      <w:r w:rsidRPr="005B2194">
        <w:rPr>
          <w:i/>
        </w:rPr>
        <w:t>Options Menu</w:t>
      </w:r>
      <w:r>
        <w:t xml:space="preserve"> are:</w:t>
      </w:r>
    </w:p>
    <w:p w14:paraId="0954D9A5" w14:textId="77777777" w:rsidR="00363367" w:rsidRDefault="00363367" w:rsidP="0082540D">
      <w:pPr>
        <w:pStyle w:val="QRGText"/>
        <w:numPr>
          <w:ilvl w:val="0"/>
          <w:numId w:val="44"/>
        </w:numPr>
      </w:pPr>
      <w:r>
        <w:rPr>
          <w:noProof/>
          <w:lang w:eastAsia="en-AU"/>
        </w:rPr>
        <w:drawing>
          <wp:inline distT="0" distB="0" distL="0" distR="0" wp14:anchorId="2DB99BA4" wp14:editId="1D731061">
            <wp:extent cx="1069200" cy="180000"/>
            <wp:effectExtent l="19050" t="19050" r="17145" b="10795"/>
            <wp:docPr id="35" name="Picture 35" title="Sunnary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6270D">
        <w:t xml:space="preserve"> - Displays all </w:t>
      </w:r>
      <w:r w:rsidR="00CE0B46">
        <w:t>indicators</w:t>
      </w:r>
      <w:r w:rsidR="0086270D">
        <w:t xml:space="preserve">/sections of the form </w:t>
      </w:r>
      <w:r w:rsidR="00A1582A">
        <w:t xml:space="preserve">in read-only mode </w:t>
      </w:r>
      <w:r w:rsidR="0086270D">
        <w:t xml:space="preserve">on the one screen (replacing the old </w:t>
      </w:r>
      <w:r w:rsidR="0086270D" w:rsidRPr="0086270D">
        <w:rPr>
          <w:i/>
        </w:rPr>
        <w:t>Preview</w:t>
      </w:r>
      <w:r w:rsidR="0086270D">
        <w:t xml:space="preserve"> tab) so the whole form can </w:t>
      </w:r>
      <w:proofErr w:type="gramStart"/>
      <w:r w:rsidR="0086270D">
        <w:t>be printed</w:t>
      </w:r>
      <w:proofErr w:type="gramEnd"/>
      <w:r w:rsidR="0086270D">
        <w:t xml:space="preserve"> if needed.</w:t>
      </w:r>
    </w:p>
    <w:p w14:paraId="172E46D7" w14:textId="77777777" w:rsidR="00363367" w:rsidRDefault="0086270D" w:rsidP="0082540D">
      <w:pPr>
        <w:pStyle w:val="QRGText"/>
        <w:numPr>
          <w:ilvl w:val="0"/>
          <w:numId w:val="44"/>
        </w:numPr>
      </w:pPr>
      <w:r>
        <w:rPr>
          <w:noProof/>
          <w:lang w:eastAsia="en-AU"/>
        </w:rPr>
        <w:drawing>
          <wp:inline distT="0" distB="0" distL="0" distR="0" wp14:anchorId="1901A710" wp14:editId="05CB443A">
            <wp:extent cx="1897200" cy="180000"/>
            <wp:effectExtent l="19050" t="19050" r="8255" b="10795"/>
            <wp:docPr id="37" name="Picture 37" title="Populate empty cells with z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- Adds zeros to any empty cells in the selected indicator/section.</w:t>
      </w:r>
    </w:p>
    <w:p w14:paraId="65606CE9" w14:textId="77777777" w:rsidR="0086270D" w:rsidRDefault="0086270D" w:rsidP="0082540D">
      <w:pPr>
        <w:pStyle w:val="QRGText"/>
        <w:numPr>
          <w:ilvl w:val="0"/>
          <w:numId w:val="44"/>
        </w:numPr>
      </w:pPr>
      <w:r>
        <w:rPr>
          <w:noProof/>
          <w:lang w:eastAsia="en-AU"/>
        </w:rPr>
        <w:drawing>
          <wp:inline distT="0" distB="0" distL="0" distR="0" wp14:anchorId="234840E2" wp14:editId="79A817BA">
            <wp:extent cx="982800" cy="180000"/>
            <wp:effectExtent l="19050" t="19050" r="27305" b="10795"/>
            <wp:docPr id="38" name="Picture 38" title="Clear all ce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- </w:t>
      </w:r>
      <w:r w:rsidR="00CD2D63">
        <w:t xml:space="preserve">Clears all data that has </w:t>
      </w:r>
      <w:proofErr w:type="gramStart"/>
      <w:r w:rsidR="00CD2D63">
        <w:t>been entered</w:t>
      </w:r>
      <w:proofErr w:type="gramEnd"/>
      <w:r w:rsidR="00CD2D63">
        <w:t xml:space="preserve"> into the cells in the selected indicator/section.</w:t>
      </w:r>
    </w:p>
    <w:p w14:paraId="3F3F196F" w14:textId="77777777" w:rsidR="00CD2D63" w:rsidRDefault="00CD2D63" w:rsidP="0082540D">
      <w:pPr>
        <w:pStyle w:val="QRGText"/>
        <w:numPr>
          <w:ilvl w:val="0"/>
          <w:numId w:val="44"/>
        </w:numPr>
      </w:pPr>
      <w:r>
        <w:rPr>
          <w:noProof/>
          <w:lang w:eastAsia="en-AU"/>
        </w:rPr>
        <w:drawing>
          <wp:inline distT="0" distB="0" distL="0" distR="0" wp14:anchorId="2F8DEC70" wp14:editId="4D5B1A68">
            <wp:extent cx="1101600" cy="180000"/>
            <wp:effectExtent l="19050" t="19050" r="22860" b="10795"/>
            <wp:docPr id="39" name="Picture 39" title="Expand all ta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6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- Allows the user to </w:t>
      </w:r>
      <w:r w:rsidR="00D5788B">
        <w:t xml:space="preserve">open all </w:t>
      </w:r>
      <w:r w:rsidR="00581B98">
        <w:t>the indicators/sections</w:t>
      </w:r>
      <w:r w:rsidR="00D5788B">
        <w:t xml:space="preserve"> when in </w:t>
      </w:r>
      <w:r w:rsidR="00D5788B" w:rsidRPr="00581B98">
        <w:rPr>
          <w:i/>
        </w:rPr>
        <w:t>Summary View</w:t>
      </w:r>
      <w:r w:rsidR="00D5788B">
        <w:t>.</w:t>
      </w:r>
    </w:p>
    <w:p w14:paraId="72BF9BA7" w14:textId="46BF2222" w:rsidR="00CD2D63" w:rsidRDefault="00CD2D63" w:rsidP="0082540D">
      <w:pPr>
        <w:pStyle w:val="QRGText"/>
        <w:numPr>
          <w:ilvl w:val="0"/>
          <w:numId w:val="44"/>
        </w:numPr>
      </w:pPr>
      <w:r>
        <w:rPr>
          <w:noProof/>
          <w:lang w:eastAsia="en-AU"/>
        </w:rPr>
        <w:drawing>
          <wp:inline distT="0" distB="0" distL="0" distR="0" wp14:anchorId="0C89F37F" wp14:editId="14CE5E5B">
            <wp:extent cx="1108800" cy="180000"/>
            <wp:effectExtent l="19050" t="19050" r="15240" b="10795"/>
            <wp:docPr id="40" name="Picture 40" title="Collapse all ta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- </w:t>
      </w:r>
      <w:r w:rsidR="00D5788B">
        <w:t xml:space="preserve">Allows the user to collapse all the </w:t>
      </w:r>
      <w:r w:rsidR="00581B98">
        <w:t xml:space="preserve">indicators/sections </w:t>
      </w:r>
      <w:r w:rsidR="00D5788B">
        <w:t xml:space="preserve">when in </w:t>
      </w:r>
      <w:r w:rsidR="00D5788B" w:rsidRPr="00581B98">
        <w:rPr>
          <w:i/>
        </w:rPr>
        <w:t>Summary View</w:t>
      </w:r>
      <w:r w:rsidR="00D5788B">
        <w:t>.</w:t>
      </w:r>
    </w:p>
    <w:p w14:paraId="2D8D39FC" w14:textId="72A5757F" w:rsidR="005C743D" w:rsidRDefault="005C743D" w:rsidP="0082540D">
      <w:pPr>
        <w:pStyle w:val="QRGText"/>
        <w:numPr>
          <w:ilvl w:val="0"/>
          <w:numId w:val="44"/>
        </w:numPr>
      </w:pPr>
      <w:r>
        <w:rPr>
          <w:noProof/>
        </w:rPr>
        <w:drawing>
          <wp:inline distT="0" distB="0" distL="0" distR="0" wp14:anchorId="28C4C046" wp14:editId="31369DAD">
            <wp:extent cx="1004400" cy="136800"/>
            <wp:effectExtent l="19050" t="19050" r="24765" b="15875"/>
            <wp:docPr id="13" name="Picture 13" descr="Upload Workforce 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Upload Workforce Profil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400" cy="136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- Allows the user to upload their completed Workforce Profile spreadsheet to populate the Paid and Unpaid FTE tabs of the OSR form (</w:t>
      </w:r>
      <w:r w:rsidRPr="005C743D">
        <w:rPr>
          <w:i/>
          <w:iCs/>
        </w:rPr>
        <w:t>OSR only</w:t>
      </w:r>
      <w:r>
        <w:t xml:space="preserve">). </w:t>
      </w:r>
    </w:p>
    <w:p w14:paraId="50996C1E" w14:textId="67E62D89" w:rsidR="005C743D" w:rsidRDefault="005C743D" w:rsidP="0082540D">
      <w:pPr>
        <w:pStyle w:val="QRGText"/>
        <w:numPr>
          <w:ilvl w:val="0"/>
          <w:numId w:val="44"/>
        </w:numPr>
      </w:pPr>
      <w:r>
        <w:rPr>
          <w:noProof/>
        </w:rPr>
        <w:drawing>
          <wp:inline distT="0" distB="0" distL="0" distR="0" wp14:anchorId="3200C76B" wp14:editId="54963BAF">
            <wp:extent cx="720000" cy="457200"/>
            <wp:effectExtent l="19050" t="19050" r="23495" b="19050"/>
            <wp:docPr id="16" name="Picture 16" descr="Target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Target sourc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457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- Displays on PI03 in the nKPI form and, when selected, highlights the cells used to calculate the applicable </w:t>
      </w:r>
      <w:r w:rsidRPr="005C743D">
        <w:rPr>
          <w:i/>
          <w:iCs/>
        </w:rPr>
        <w:t>Value in current collection (%)</w:t>
      </w:r>
      <w:r>
        <w:t xml:space="preserve"> value on the </w:t>
      </w:r>
      <w:r w:rsidRPr="005C743D">
        <w:rPr>
          <w:i/>
          <w:iCs/>
        </w:rPr>
        <w:t xml:space="preserve">nKPI Targets </w:t>
      </w:r>
      <w:proofErr w:type="gramStart"/>
      <w:r>
        <w:t xml:space="preserve">tab.  </w:t>
      </w:r>
      <w:proofErr w:type="gramEnd"/>
    </w:p>
    <w:p w14:paraId="046DD5F6" w14:textId="0A7F8500" w:rsidR="005C743D" w:rsidRDefault="005C743D" w:rsidP="0082540D">
      <w:pPr>
        <w:pStyle w:val="QRGText"/>
        <w:numPr>
          <w:ilvl w:val="0"/>
          <w:numId w:val="44"/>
        </w:numPr>
      </w:pPr>
      <w:r>
        <w:rPr>
          <w:noProof/>
        </w:rPr>
        <w:drawing>
          <wp:inline distT="0" distB="0" distL="0" distR="0" wp14:anchorId="726577C7" wp14:editId="3E850457">
            <wp:extent cx="414000" cy="126000"/>
            <wp:effectExtent l="19050" t="19050" r="24765" b="26670"/>
            <wp:docPr id="17" name="Picture 17" descr="Ta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arget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- Displays on P105, 14, 18 and 23 in the nKPI form and, when selected, </w:t>
      </w:r>
      <w:r>
        <w:t xml:space="preserve">highlights the cells used to calculate the applicable </w:t>
      </w:r>
      <w:r w:rsidRPr="005C743D">
        <w:rPr>
          <w:i/>
          <w:iCs/>
        </w:rPr>
        <w:t>Value in current collection (%)</w:t>
      </w:r>
      <w:r>
        <w:t xml:space="preserve"> value on the </w:t>
      </w:r>
      <w:r w:rsidRPr="005C743D">
        <w:rPr>
          <w:i/>
          <w:iCs/>
        </w:rPr>
        <w:t xml:space="preserve">nKPI Targets </w:t>
      </w:r>
      <w:r>
        <w:t>tab</w:t>
      </w:r>
      <w:r>
        <w:t xml:space="preserve">. </w:t>
      </w:r>
    </w:p>
    <w:p w14:paraId="1191ABD9" w14:textId="77777777" w:rsidR="00AB01DA" w:rsidRDefault="00AB01DA" w:rsidP="00AB01DA">
      <w:pPr>
        <w:pStyle w:val="QRGHeading"/>
      </w:pPr>
      <w:r>
        <w:t>6. The Notifications Tray</w:t>
      </w:r>
    </w:p>
    <w:p w14:paraId="1C7A5297" w14:textId="1C7E38AA" w:rsidR="00AD552F" w:rsidRDefault="00AB01DA" w:rsidP="00581B98">
      <w:pPr>
        <w:pStyle w:val="QRGText"/>
      </w:pPr>
      <w:r>
        <w:t>All</w:t>
      </w:r>
      <w:r w:rsidR="00AD552F">
        <w:t xml:space="preserve"> data validation </w:t>
      </w:r>
      <w:proofErr w:type="gramStart"/>
      <w:r w:rsidR="00AD552F">
        <w:t>flags</w:t>
      </w:r>
      <w:proofErr w:type="gramEnd"/>
      <w:r w:rsidR="00AD552F">
        <w:t xml:space="preserve"> and </w:t>
      </w:r>
      <w:r w:rsidR="00581B98">
        <w:t xml:space="preserve">user </w:t>
      </w:r>
      <w:r w:rsidR="004D6CE2">
        <w:t xml:space="preserve">entered </w:t>
      </w:r>
      <w:r w:rsidR="00AD552F">
        <w:t xml:space="preserve">comments in the </w:t>
      </w:r>
      <w:r w:rsidR="00221391">
        <w:t>forms are displayed in the</w:t>
      </w:r>
      <w:r w:rsidR="00AD552F">
        <w:t xml:space="preserve"> </w:t>
      </w:r>
      <w:r w:rsidR="00AD552F" w:rsidRPr="00AD552F">
        <w:rPr>
          <w:i/>
        </w:rPr>
        <w:t>Notifications Tray</w:t>
      </w:r>
      <w:r w:rsidR="00AD552F">
        <w:t>.</w:t>
      </w:r>
    </w:p>
    <w:p w14:paraId="1BBF2B85" w14:textId="77777777" w:rsidR="00581B98" w:rsidRDefault="00581B98" w:rsidP="00581B98">
      <w:pPr>
        <w:pStyle w:val="QRGText"/>
      </w:pPr>
      <w:r w:rsidRPr="00793D6C">
        <w:rPr>
          <w:noProof/>
          <w:lang w:eastAsia="en-AU"/>
        </w:rPr>
        <w:drawing>
          <wp:inline distT="0" distB="0" distL="0" distR="0" wp14:anchorId="2707AB06" wp14:editId="6C38BFB2">
            <wp:extent cx="252000" cy="252000"/>
            <wp:effectExtent l="0" t="0" r="0" b="0"/>
            <wp:docPr id="21" name="Picture 21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AU"/>
        </w:rPr>
        <w:t xml:space="preserve"> To open the </w:t>
      </w:r>
      <w:r w:rsidRPr="009D14E4">
        <w:rPr>
          <w:i/>
          <w:lang w:eastAsia="en-AU"/>
        </w:rPr>
        <w:t>Notifications</w:t>
      </w:r>
      <w:r>
        <w:rPr>
          <w:lang w:eastAsia="en-AU"/>
        </w:rPr>
        <w:t xml:space="preserve"> </w:t>
      </w:r>
      <w:r w:rsidR="00221391" w:rsidRPr="00221391">
        <w:rPr>
          <w:i/>
          <w:lang w:eastAsia="en-AU"/>
        </w:rPr>
        <w:t>Tray</w:t>
      </w:r>
      <w:r>
        <w:rPr>
          <w:lang w:eastAsia="en-AU"/>
        </w:rPr>
        <w:t xml:space="preserve"> if it </w:t>
      </w:r>
      <w:proofErr w:type="gramStart"/>
      <w:r>
        <w:rPr>
          <w:lang w:eastAsia="en-AU"/>
        </w:rPr>
        <w:t>doesn’t</w:t>
      </w:r>
      <w:proofErr w:type="gramEnd"/>
      <w:r>
        <w:rPr>
          <w:lang w:eastAsia="en-AU"/>
        </w:rPr>
        <w:t xml:space="preserve"> display by default in the form, select either </w:t>
      </w:r>
      <w:r>
        <w:rPr>
          <w:noProof/>
          <w:lang w:eastAsia="en-AU"/>
        </w:rPr>
        <w:drawing>
          <wp:inline distT="0" distB="0" distL="0" distR="0" wp14:anchorId="581F0A8C" wp14:editId="39E47281">
            <wp:extent cx="169200" cy="180000"/>
            <wp:effectExtent l="19050" t="19050" r="21590" b="10795"/>
            <wp:docPr id="14" name="Picture 14" descr="Open notifications tray - some comments require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lang w:eastAsia="en-AU"/>
        </w:rPr>
        <w:t xml:space="preserve"> or </w:t>
      </w:r>
      <w:r>
        <w:rPr>
          <w:noProof/>
          <w:lang w:eastAsia="en-AU"/>
        </w:rPr>
        <w:drawing>
          <wp:inline distT="0" distB="0" distL="0" distR="0" wp14:anchorId="0C0989F2" wp14:editId="64FDBC8A">
            <wp:extent cx="208800" cy="180000"/>
            <wp:effectExtent l="19050" t="19050" r="20320" b="10795"/>
            <wp:docPr id="15" name="Picture 15" descr="Open notifications tray - some comments require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221391">
        <w:rPr>
          <w:lang w:eastAsia="en-AU"/>
        </w:rPr>
        <w:t xml:space="preserve"> in the blue </w:t>
      </w:r>
      <w:r w:rsidR="00221391" w:rsidRPr="00221391">
        <w:rPr>
          <w:i/>
          <w:lang w:eastAsia="en-AU"/>
        </w:rPr>
        <w:t>Submission Data</w:t>
      </w:r>
      <w:r w:rsidR="00221391">
        <w:rPr>
          <w:lang w:eastAsia="en-AU"/>
        </w:rPr>
        <w:t xml:space="preserve"> bar at the top of the form</w:t>
      </w:r>
      <w:r>
        <w:rPr>
          <w:lang w:eastAsia="en-AU"/>
        </w:rPr>
        <w:t>.</w:t>
      </w:r>
    </w:p>
    <w:p w14:paraId="0FF55DCB" w14:textId="77777777" w:rsidR="000A53CA" w:rsidRPr="000A53CA" w:rsidRDefault="000A53CA" w:rsidP="000A53CA">
      <w:pPr>
        <w:pStyle w:val="QRGPictureCentre"/>
      </w:pPr>
      <w:r>
        <w:drawing>
          <wp:inline distT="0" distB="0" distL="0" distR="0" wp14:anchorId="7536D9BD" wp14:editId="544C1F2B">
            <wp:extent cx="2372400" cy="1594800"/>
            <wp:effectExtent l="19050" t="19050" r="27940" b="24765"/>
            <wp:docPr id="20" name="Picture 20" title="picture of the Notifications T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400" cy="1594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31BEB5E" w14:textId="77777777" w:rsidR="00AD552F" w:rsidRDefault="00AD552F" w:rsidP="00E330D2">
      <w:pPr>
        <w:pStyle w:val="QRGBullet1"/>
        <w:rPr>
          <w:lang w:eastAsia="en-AU"/>
        </w:rPr>
      </w:pPr>
      <w:r>
        <w:rPr>
          <w:lang w:eastAsia="en-AU"/>
        </w:rPr>
        <w:t xml:space="preserve">To respond to a </w:t>
      </w:r>
      <w:r w:rsidR="00A672D5">
        <w:rPr>
          <w:lang w:eastAsia="en-AU"/>
        </w:rPr>
        <w:t xml:space="preserve">data </w:t>
      </w:r>
      <w:r>
        <w:rPr>
          <w:lang w:eastAsia="en-AU"/>
        </w:rPr>
        <w:t>validation flag/</w:t>
      </w:r>
      <w:r w:rsidR="00581B98">
        <w:rPr>
          <w:lang w:eastAsia="en-AU"/>
        </w:rPr>
        <w:t xml:space="preserve">user </w:t>
      </w:r>
      <w:r>
        <w:rPr>
          <w:lang w:eastAsia="en-AU"/>
        </w:rPr>
        <w:t xml:space="preserve">comment, hover </w:t>
      </w:r>
      <w:r w:rsidR="005B2194">
        <w:rPr>
          <w:lang w:eastAsia="en-AU"/>
        </w:rPr>
        <w:t>the</w:t>
      </w:r>
      <w:r>
        <w:rPr>
          <w:lang w:eastAsia="en-AU"/>
        </w:rPr>
        <w:t xml:space="preserve"> mouse pointer to the right of the title so the available buttons display</w:t>
      </w:r>
      <w:r w:rsidR="00581B98">
        <w:rPr>
          <w:lang w:eastAsia="en-AU"/>
        </w:rPr>
        <w:t>,</w:t>
      </w:r>
      <w:r>
        <w:rPr>
          <w:lang w:eastAsia="en-AU"/>
        </w:rPr>
        <w:t xml:space="preserve"> and then select </w:t>
      </w:r>
      <w:r>
        <w:rPr>
          <w:noProof/>
          <w:lang w:eastAsia="en-AU"/>
        </w:rPr>
        <w:drawing>
          <wp:inline distT="0" distB="0" distL="0" distR="0" wp14:anchorId="0754AA0A" wp14:editId="560BE6F2">
            <wp:extent cx="187200" cy="180000"/>
            <wp:effectExtent l="0" t="0" r="3810" b="0"/>
            <wp:docPr id="22" name="Picture 22" title="the Respon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AU"/>
        </w:rPr>
        <w:t>.</w:t>
      </w:r>
    </w:p>
    <w:p w14:paraId="71215EF2" w14:textId="77777777" w:rsidR="00AD552F" w:rsidRPr="00A035B2" w:rsidRDefault="00AD552F" w:rsidP="00E330D2">
      <w:pPr>
        <w:pStyle w:val="QRGBullet1"/>
        <w:rPr>
          <w:lang w:eastAsia="en-AU"/>
        </w:rPr>
      </w:pPr>
      <w:r>
        <w:rPr>
          <w:lang w:eastAsia="en-AU"/>
        </w:rPr>
        <w:t xml:space="preserve">To view any highlighted cells accompanying the flag/comment, select </w:t>
      </w:r>
      <w:r>
        <w:rPr>
          <w:rStyle w:val="QRGNumbering2Char"/>
          <w:noProof/>
          <w:lang w:eastAsia="en-AU"/>
        </w:rPr>
        <w:drawing>
          <wp:inline distT="0" distB="0" distL="0" distR="0" wp14:anchorId="21A7BD4A" wp14:editId="3B157E86">
            <wp:extent cx="180000" cy="180000"/>
            <wp:effectExtent l="0" t="0" r="0" b="0"/>
            <wp:docPr id="23" name="Picture 23" title="the Ey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AU"/>
        </w:rPr>
        <w:t>.</w:t>
      </w:r>
    </w:p>
    <w:p w14:paraId="2844560A" w14:textId="77777777" w:rsidR="00AD552F" w:rsidRDefault="00AD552F" w:rsidP="00E330D2">
      <w:pPr>
        <w:pStyle w:val="QRGBullet1"/>
        <w:rPr>
          <w:lang w:eastAsia="en-AU"/>
        </w:rPr>
      </w:pPr>
      <w:r>
        <w:rPr>
          <w:lang w:eastAsia="en-AU"/>
        </w:rPr>
        <w:t xml:space="preserve">To search for a particular </w:t>
      </w:r>
      <w:r w:rsidR="00A672D5">
        <w:rPr>
          <w:lang w:eastAsia="en-AU"/>
        </w:rPr>
        <w:t xml:space="preserve">data </w:t>
      </w:r>
      <w:r>
        <w:rPr>
          <w:lang w:eastAsia="en-AU"/>
        </w:rPr>
        <w:t>validation flag/comment</w:t>
      </w:r>
      <w:r w:rsidR="00CA5F1F">
        <w:rPr>
          <w:lang w:eastAsia="en-AU"/>
        </w:rPr>
        <w:t>, or to show completed comments</w:t>
      </w:r>
      <w:r w:rsidR="00507D0B">
        <w:rPr>
          <w:lang w:eastAsia="en-AU"/>
        </w:rPr>
        <w:t xml:space="preserve"> in the tray</w:t>
      </w:r>
      <w:r w:rsidR="00CA5F1F">
        <w:rPr>
          <w:lang w:eastAsia="en-AU"/>
        </w:rPr>
        <w:t xml:space="preserve">, select </w:t>
      </w:r>
      <w:r w:rsidR="00BA34F4">
        <w:rPr>
          <w:noProof/>
          <w:lang w:eastAsia="en-AU"/>
        </w:rPr>
        <w:drawing>
          <wp:inline distT="0" distB="0" distL="0" distR="0" wp14:anchorId="42A3AED3" wp14:editId="1C76ADD2">
            <wp:extent cx="190800" cy="180000"/>
            <wp:effectExtent l="19050" t="19050" r="19050" b="10795"/>
            <wp:docPr id="11" name="Picture 11" title="Notification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EF6C42">
        <w:rPr>
          <w:lang w:eastAsia="en-AU"/>
        </w:rPr>
        <w:t xml:space="preserve"> at the top of the </w:t>
      </w:r>
      <w:r w:rsidR="00EF6C42" w:rsidRPr="00EF6C42">
        <w:rPr>
          <w:i/>
          <w:lang w:eastAsia="en-AU"/>
        </w:rPr>
        <w:t>Notifications Tray</w:t>
      </w:r>
      <w:r w:rsidR="00CA5F1F">
        <w:rPr>
          <w:lang w:eastAsia="en-AU"/>
        </w:rPr>
        <w:t>.</w:t>
      </w:r>
    </w:p>
    <w:p w14:paraId="60A5754E" w14:textId="77777777" w:rsidR="00AD552F" w:rsidRDefault="000A53CA" w:rsidP="00E330D2">
      <w:pPr>
        <w:pStyle w:val="QRGBullet1"/>
        <w:rPr>
          <w:lang w:eastAsia="en-AU"/>
        </w:rPr>
      </w:pPr>
      <w:r>
        <w:rPr>
          <w:lang w:eastAsia="en-AU"/>
        </w:rPr>
        <w:t xml:space="preserve">To add a new comment, select </w:t>
      </w:r>
      <w:r>
        <w:rPr>
          <w:noProof/>
          <w:lang w:eastAsia="en-AU"/>
        </w:rPr>
        <w:drawing>
          <wp:inline distT="0" distB="0" distL="0" distR="0" wp14:anchorId="0FF70A9D" wp14:editId="135EDACA">
            <wp:extent cx="518400" cy="180000"/>
            <wp:effectExtent l="19050" t="19050" r="15240" b="10795"/>
            <wp:docPr id="24" name="Picture 24" title="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EF6C42">
        <w:rPr>
          <w:lang w:eastAsia="en-AU"/>
        </w:rPr>
        <w:t xml:space="preserve"> at the top of the </w:t>
      </w:r>
      <w:r w:rsidR="00EF6C42" w:rsidRPr="00EF6C42">
        <w:rPr>
          <w:i/>
          <w:lang w:eastAsia="en-AU"/>
        </w:rPr>
        <w:t>Notifications Tray</w:t>
      </w:r>
      <w:r w:rsidR="00AD552F">
        <w:rPr>
          <w:lang w:eastAsia="en-AU"/>
        </w:rPr>
        <w:t>.</w:t>
      </w:r>
    </w:p>
    <w:p w14:paraId="4692099A" w14:textId="56AF3D26" w:rsidR="00AD552F" w:rsidRDefault="00AD552F" w:rsidP="00E330D2">
      <w:pPr>
        <w:pStyle w:val="QRGBullet1"/>
        <w:rPr>
          <w:lang w:eastAsia="en-AU"/>
        </w:rPr>
      </w:pPr>
      <w:r>
        <w:rPr>
          <w:lang w:eastAsia="en-AU"/>
        </w:rPr>
        <w:t xml:space="preserve">To dock the tray </w:t>
      </w:r>
      <w:r w:rsidR="005B2194">
        <w:rPr>
          <w:lang w:eastAsia="en-AU"/>
        </w:rPr>
        <w:t>at the bottom of the indicator</w:t>
      </w:r>
      <w:r w:rsidR="00BA34F4">
        <w:rPr>
          <w:lang w:eastAsia="en-AU"/>
        </w:rPr>
        <w:t>/section</w:t>
      </w:r>
      <w:r w:rsidR="00413571">
        <w:rPr>
          <w:lang w:eastAsia="en-AU"/>
        </w:rPr>
        <w:t xml:space="preserve"> </w:t>
      </w:r>
      <w:r>
        <w:rPr>
          <w:lang w:eastAsia="en-AU"/>
        </w:rPr>
        <w:t xml:space="preserve">or undock it </w:t>
      </w:r>
      <w:r w:rsidR="005B2194">
        <w:rPr>
          <w:lang w:eastAsia="en-AU"/>
        </w:rPr>
        <w:t xml:space="preserve">so it can </w:t>
      </w:r>
      <w:proofErr w:type="gramStart"/>
      <w:r w:rsidR="005B2194">
        <w:rPr>
          <w:lang w:eastAsia="en-AU"/>
        </w:rPr>
        <w:t>be</w:t>
      </w:r>
      <w:r>
        <w:rPr>
          <w:lang w:eastAsia="en-AU"/>
        </w:rPr>
        <w:t xml:space="preserve"> move</w:t>
      </w:r>
      <w:r w:rsidR="005B2194">
        <w:rPr>
          <w:lang w:eastAsia="en-AU"/>
        </w:rPr>
        <w:t>d</w:t>
      </w:r>
      <w:proofErr w:type="gramEnd"/>
      <w:r w:rsidR="005B2194">
        <w:rPr>
          <w:lang w:eastAsia="en-AU"/>
        </w:rPr>
        <w:t xml:space="preserve"> </w:t>
      </w:r>
      <w:r>
        <w:rPr>
          <w:lang w:eastAsia="en-AU"/>
        </w:rPr>
        <w:t xml:space="preserve">around the screen, select </w:t>
      </w:r>
      <w:r>
        <w:rPr>
          <w:noProof/>
          <w:lang w:eastAsia="en-AU"/>
        </w:rPr>
        <w:drawing>
          <wp:inline distT="0" distB="0" distL="0" distR="0" wp14:anchorId="38FC423D" wp14:editId="4085E33F">
            <wp:extent cx="172800" cy="180000"/>
            <wp:effectExtent l="0" t="0" r="0" b="0"/>
            <wp:docPr id="18" name="Picture 18" title="Dock/Undock Comments Dia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C42">
        <w:rPr>
          <w:lang w:eastAsia="en-AU"/>
        </w:rPr>
        <w:t xml:space="preserve"> in the top left-hand corner of the </w:t>
      </w:r>
      <w:r w:rsidR="00EF6C42" w:rsidRPr="00EF6C42">
        <w:rPr>
          <w:i/>
          <w:lang w:eastAsia="en-AU"/>
        </w:rPr>
        <w:t>Notifications Tray</w:t>
      </w:r>
      <w:r w:rsidR="005B2194" w:rsidRPr="00EF6C42">
        <w:rPr>
          <w:i/>
          <w:lang w:eastAsia="en-AU"/>
        </w:rPr>
        <w:t>.</w:t>
      </w:r>
    </w:p>
    <w:p w14:paraId="6B8731BC" w14:textId="77777777" w:rsidR="00AD552F" w:rsidRDefault="00AD552F" w:rsidP="00E330D2">
      <w:pPr>
        <w:pStyle w:val="QRGBullet1"/>
        <w:rPr>
          <w:lang w:eastAsia="en-AU"/>
        </w:rPr>
      </w:pPr>
      <w:r>
        <w:rPr>
          <w:lang w:eastAsia="en-AU"/>
        </w:rPr>
        <w:lastRenderedPageBreak/>
        <w:t xml:space="preserve">To close the tray, select </w:t>
      </w:r>
      <w:r>
        <w:rPr>
          <w:noProof/>
          <w:lang w:eastAsia="en-AU"/>
        </w:rPr>
        <w:drawing>
          <wp:inline distT="0" distB="0" distL="0" distR="0" wp14:anchorId="6B6BAD7E" wp14:editId="1CEBB12A">
            <wp:extent cx="169200" cy="180000"/>
            <wp:effectExtent l="0" t="0" r="2540" b="0"/>
            <wp:docPr id="19" name="Picture 19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C42">
        <w:rPr>
          <w:lang w:eastAsia="en-AU"/>
        </w:rPr>
        <w:t xml:space="preserve"> in the top right-hand corner of the </w:t>
      </w:r>
      <w:r w:rsidR="00EF6C42" w:rsidRPr="00EF6C42">
        <w:rPr>
          <w:i/>
          <w:lang w:eastAsia="en-AU"/>
        </w:rPr>
        <w:t>Notifications Tray</w:t>
      </w:r>
      <w:r>
        <w:rPr>
          <w:lang w:eastAsia="en-AU"/>
        </w:rPr>
        <w:t xml:space="preserve">. </w:t>
      </w:r>
    </w:p>
    <w:p w14:paraId="3C8BDC81" w14:textId="58AE492C" w:rsidR="00363367" w:rsidRPr="005B2194" w:rsidRDefault="005C743D" w:rsidP="005B2194">
      <w:pPr>
        <w:pStyle w:val="QRGText"/>
      </w:pPr>
      <w:r w:rsidRPr="00A529B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BF4DBA" wp14:editId="7384D9E0">
                <wp:simplePos x="0" y="0"/>
                <wp:positionH relativeFrom="column">
                  <wp:posOffset>2743200</wp:posOffset>
                </wp:positionH>
                <wp:positionV relativeFrom="paragraph">
                  <wp:posOffset>-934085</wp:posOffset>
                </wp:positionV>
                <wp:extent cx="4147820" cy="533400"/>
                <wp:effectExtent l="0" t="0" r="0" b="0"/>
                <wp:wrapNone/>
                <wp:docPr id="25" name="Text Box 25" title="Approve an IHDR Data Asset Submiss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82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7D759" w14:textId="77777777" w:rsidR="005C743D" w:rsidRPr="00F2241F" w:rsidRDefault="005C743D" w:rsidP="005C74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Navigate Forms in the Health Data Portal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F4DBA" id="Text Box 25" o:spid="_x0000_s1028" type="#_x0000_t202" alt="Title: Approve an IHDR Data Asset Submission" style="position:absolute;margin-left:3in;margin-top:-73.55pt;width:326.6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" filled="f" stroked="f">
                <v:textbox>
                  <w:txbxContent>
                    <w:p w14:paraId="1AA7D759" w14:textId="77777777" w:rsidR="005C743D" w:rsidRPr="00F2241F" w:rsidRDefault="005C743D" w:rsidP="005C743D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Navigate Forms in the Health Data Portal</w:t>
                      </w:r>
                    </w:p>
                  </w:txbxContent>
                </v:textbox>
              </v:shape>
            </w:pict>
          </mc:Fallback>
        </mc:AlternateContent>
      </w:r>
      <w:r w:rsidR="005B2194" w:rsidRPr="00793D6C">
        <w:rPr>
          <w:noProof/>
          <w:lang w:eastAsia="en-AU"/>
        </w:rPr>
        <w:drawing>
          <wp:inline distT="0" distB="0" distL="0" distR="0" wp14:anchorId="18F84B70" wp14:editId="0872BD7D">
            <wp:extent cx="252000" cy="252000"/>
            <wp:effectExtent l="0" t="0" r="0" b="0"/>
            <wp:docPr id="2" name="Picture 2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2194">
        <w:t xml:space="preserve"> When the </w:t>
      </w:r>
      <w:r w:rsidR="005B2194" w:rsidRPr="005B2194">
        <w:rPr>
          <w:i/>
        </w:rPr>
        <w:t>Notifications</w:t>
      </w:r>
      <w:r w:rsidR="005B2194">
        <w:t xml:space="preserve"> </w:t>
      </w:r>
      <w:r w:rsidR="00221391">
        <w:rPr>
          <w:i/>
        </w:rPr>
        <w:t>T</w:t>
      </w:r>
      <w:r w:rsidR="005B2194" w:rsidRPr="00221391">
        <w:rPr>
          <w:i/>
        </w:rPr>
        <w:t>ray</w:t>
      </w:r>
      <w:r w:rsidR="005B2194">
        <w:t xml:space="preserve"> </w:t>
      </w:r>
      <w:proofErr w:type="gramStart"/>
      <w:r w:rsidR="005B2194">
        <w:t>is undocked</w:t>
      </w:r>
      <w:proofErr w:type="gramEnd"/>
      <w:r w:rsidR="005B2194">
        <w:t xml:space="preserve">, it can be moved around the screen by hovering the mouse pointer over the top of the tray, until the cursor appears as a four headed arrow, holding the left mouse button down and then dragging the tray to any part of the screen. </w:t>
      </w:r>
    </w:p>
    <w:p w14:paraId="5C970738" w14:textId="03651A4A" w:rsidR="00363367" w:rsidRDefault="00363367" w:rsidP="00363367">
      <w:pPr>
        <w:pStyle w:val="QRGText"/>
      </w:pPr>
    </w:p>
    <w:sectPr w:rsidR="00363367" w:rsidSect="00316F6F"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65675" w14:textId="77777777" w:rsidR="004B60EA" w:rsidRDefault="004B60EA" w:rsidP="00AF798B">
      <w:pPr>
        <w:spacing w:before="0" w:after="0"/>
      </w:pPr>
      <w:r>
        <w:separator/>
      </w:r>
    </w:p>
    <w:p w14:paraId="720FBF36" w14:textId="77777777" w:rsidR="004B60EA" w:rsidRDefault="004B60EA"/>
  </w:endnote>
  <w:endnote w:type="continuationSeparator" w:id="0">
    <w:p w14:paraId="4077B4DE" w14:textId="77777777" w:rsidR="004B60EA" w:rsidRDefault="004B60EA" w:rsidP="00AF798B">
      <w:pPr>
        <w:spacing w:before="0" w:after="0"/>
      </w:pPr>
      <w:r>
        <w:continuationSeparator/>
      </w:r>
    </w:p>
    <w:p w14:paraId="4B627A9F" w14:textId="77777777" w:rsidR="004B60EA" w:rsidRDefault="004B60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32E327E1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262DCB">
              <w:rPr>
                <w:noProof/>
              </w:rPr>
              <w:t>2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816C69">
              <w:rPr>
                <w:noProof/>
              </w:rPr>
              <w:fldChar w:fldCharType="begin"/>
            </w:r>
            <w:r w:rsidR="00816C69">
              <w:rPr>
                <w:noProof/>
              </w:rPr>
              <w:instrText xml:space="preserve"> NUMPAGES  </w:instrText>
            </w:r>
            <w:r w:rsidR="00816C69">
              <w:rPr>
                <w:noProof/>
              </w:rPr>
              <w:fldChar w:fldCharType="separate"/>
            </w:r>
            <w:r w:rsidR="00262DCB">
              <w:rPr>
                <w:noProof/>
              </w:rPr>
              <w:t>2</w:t>
            </w:r>
            <w:r w:rsidR="00816C69">
              <w:rPr>
                <w:noProof/>
              </w:rPr>
              <w:fldChar w:fldCharType="end"/>
            </w:r>
          </w:p>
        </w:sdtContent>
      </w:sdt>
    </w:sdtContent>
  </w:sdt>
  <w:p w14:paraId="4F7DA353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268DE" w14:textId="77777777" w:rsidR="004B60EA" w:rsidRDefault="004B60EA" w:rsidP="00AF798B">
      <w:pPr>
        <w:spacing w:before="0" w:after="0"/>
      </w:pPr>
      <w:r>
        <w:separator/>
      </w:r>
    </w:p>
    <w:p w14:paraId="686DF851" w14:textId="77777777" w:rsidR="004B60EA" w:rsidRDefault="004B60EA"/>
  </w:footnote>
  <w:footnote w:type="continuationSeparator" w:id="0">
    <w:p w14:paraId="65023FFF" w14:textId="77777777" w:rsidR="004B60EA" w:rsidRDefault="004B60EA" w:rsidP="00AF798B">
      <w:pPr>
        <w:spacing w:before="0" w:after="0"/>
      </w:pPr>
      <w:r>
        <w:continuationSeparator/>
      </w:r>
    </w:p>
    <w:p w14:paraId="225DF44D" w14:textId="77777777" w:rsidR="004B60EA" w:rsidRDefault="004B60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02D2" w14:textId="33577879" w:rsidR="00AF798B" w:rsidRPr="00EB6A7A" w:rsidRDefault="00894408" w:rsidP="00E25B2E">
    <w:pPr>
      <w:pStyle w:val="QRGHeaderText"/>
      <w:ind w:firstLine="5040"/>
      <w:jc w:val="right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3DB57BD2" wp14:editId="56884405">
          <wp:simplePos x="0" y="0"/>
          <wp:positionH relativeFrom="column">
            <wp:posOffset>-135255</wp:posOffset>
          </wp:positionH>
          <wp:positionV relativeFrom="paragraph">
            <wp:posOffset>33919</wp:posOffset>
          </wp:positionV>
          <wp:extent cx="2469068" cy="745414"/>
          <wp:effectExtent l="0" t="0" r="7620" b="0"/>
          <wp:wrapSquare wrapText="bothSides"/>
          <wp:docPr id="8" name="Picture 8" descr="picture of the Department of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picture of the Department of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7721" w:rsidRPr="000628A2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E1BFEA9" wp14:editId="73059300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3" name="Picture 3" descr="Top banner showing the Department of Health crest and the &quot;What's New/Different in nKPI Reporting for January 2020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EB6A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0.5pt;height:15.75pt;visibility:visible;mso-wrap-style:square" o:bullet="t">
        <v:imagedata r:id="rId1" o:title=""/>
      </v:shape>
    </w:pict>
  </w:numPicBullet>
  <w:numPicBullet w:numPicBulletId="1">
    <w:pict>
      <v:shape id="_x0000_i1081" type="#_x0000_t75" alt="Title: Cancel and Go Back to Overview" style="width:10.5pt;height:15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24EAA5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7488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600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BA06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14BA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54F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0449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A39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4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EECF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23902"/>
    <w:multiLevelType w:val="hybridMultilevel"/>
    <w:tmpl w:val="93D28E56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65773C"/>
    <w:multiLevelType w:val="hybridMultilevel"/>
    <w:tmpl w:val="092AE168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433957"/>
    <w:multiLevelType w:val="hybridMultilevel"/>
    <w:tmpl w:val="FF807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C5818"/>
    <w:multiLevelType w:val="hybridMultilevel"/>
    <w:tmpl w:val="BCE2D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F051E"/>
    <w:multiLevelType w:val="hybridMultilevel"/>
    <w:tmpl w:val="6B7E6396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62F05"/>
    <w:multiLevelType w:val="hybridMultilevel"/>
    <w:tmpl w:val="13089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8713F"/>
    <w:multiLevelType w:val="hybridMultilevel"/>
    <w:tmpl w:val="B1E2B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A6E2E"/>
    <w:multiLevelType w:val="hybridMultilevel"/>
    <w:tmpl w:val="93D28E56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47062B"/>
    <w:multiLevelType w:val="hybridMultilevel"/>
    <w:tmpl w:val="93D28E56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9624C9"/>
    <w:multiLevelType w:val="hybridMultilevel"/>
    <w:tmpl w:val="93D28E56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C75977"/>
    <w:multiLevelType w:val="hybridMultilevel"/>
    <w:tmpl w:val="93D28E56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55297A"/>
    <w:multiLevelType w:val="hybridMultilevel"/>
    <w:tmpl w:val="93D28E56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588429">
    <w:abstractNumId w:val="17"/>
  </w:num>
  <w:num w:numId="2" w16cid:durableId="161287099">
    <w:abstractNumId w:val="14"/>
  </w:num>
  <w:num w:numId="3" w16cid:durableId="605311679">
    <w:abstractNumId w:val="23"/>
  </w:num>
  <w:num w:numId="4" w16cid:durableId="1651638938">
    <w:abstractNumId w:val="14"/>
    <w:lvlOverride w:ilvl="0">
      <w:startOverride w:val="1"/>
    </w:lvlOverride>
  </w:num>
  <w:num w:numId="5" w16cid:durableId="996302524">
    <w:abstractNumId w:val="14"/>
    <w:lvlOverride w:ilvl="0">
      <w:startOverride w:val="1"/>
    </w:lvlOverride>
  </w:num>
  <w:num w:numId="6" w16cid:durableId="846552379">
    <w:abstractNumId w:val="14"/>
    <w:lvlOverride w:ilvl="0">
      <w:startOverride w:val="1"/>
    </w:lvlOverride>
  </w:num>
  <w:num w:numId="7" w16cid:durableId="1100680816">
    <w:abstractNumId w:val="9"/>
  </w:num>
  <w:num w:numId="8" w16cid:durableId="1981495401">
    <w:abstractNumId w:val="7"/>
  </w:num>
  <w:num w:numId="9" w16cid:durableId="604579644">
    <w:abstractNumId w:val="6"/>
  </w:num>
  <w:num w:numId="10" w16cid:durableId="494958704">
    <w:abstractNumId w:val="5"/>
  </w:num>
  <w:num w:numId="11" w16cid:durableId="830874865">
    <w:abstractNumId w:val="4"/>
  </w:num>
  <w:num w:numId="12" w16cid:durableId="942345079">
    <w:abstractNumId w:val="8"/>
  </w:num>
  <w:num w:numId="13" w16cid:durableId="1915698838">
    <w:abstractNumId w:val="3"/>
  </w:num>
  <w:num w:numId="14" w16cid:durableId="1374304753">
    <w:abstractNumId w:val="2"/>
  </w:num>
  <w:num w:numId="15" w16cid:durableId="1507551002">
    <w:abstractNumId w:val="1"/>
  </w:num>
  <w:num w:numId="16" w16cid:durableId="1988046233">
    <w:abstractNumId w:val="0"/>
  </w:num>
  <w:num w:numId="17" w16cid:durableId="931356044">
    <w:abstractNumId w:val="14"/>
    <w:lvlOverride w:ilvl="0">
      <w:startOverride w:val="1"/>
    </w:lvlOverride>
  </w:num>
  <w:num w:numId="18" w16cid:durableId="2036269645">
    <w:abstractNumId w:val="14"/>
  </w:num>
  <w:num w:numId="19" w16cid:durableId="460077172">
    <w:abstractNumId w:val="14"/>
    <w:lvlOverride w:ilvl="0">
      <w:startOverride w:val="1"/>
    </w:lvlOverride>
  </w:num>
  <w:num w:numId="20" w16cid:durableId="132723171">
    <w:abstractNumId w:val="14"/>
    <w:lvlOverride w:ilvl="0">
      <w:startOverride w:val="1"/>
    </w:lvlOverride>
  </w:num>
  <w:num w:numId="21" w16cid:durableId="424805010">
    <w:abstractNumId w:val="15"/>
  </w:num>
  <w:num w:numId="22" w16cid:durableId="1111243860">
    <w:abstractNumId w:val="14"/>
    <w:lvlOverride w:ilvl="0">
      <w:startOverride w:val="1"/>
    </w:lvlOverride>
  </w:num>
  <w:num w:numId="23" w16cid:durableId="1528252071">
    <w:abstractNumId w:val="14"/>
    <w:lvlOverride w:ilvl="0">
      <w:startOverride w:val="1"/>
    </w:lvlOverride>
  </w:num>
  <w:num w:numId="24" w16cid:durableId="993068929">
    <w:abstractNumId w:val="14"/>
    <w:lvlOverride w:ilvl="0">
      <w:startOverride w:val="1"/>
    </w:lvlOverride>
  </w:num>
  <w:num w:numId="25" w16cid:durableId="1592473401">
    <w:abstractNumId w:val="14"/>
    <w:lvlOverride w:ilvl="0">
      <w:startOverride w:val="1"/>
    </w:lvlOverride>
  </w:num>
  <w:num w:numId="26" w16cid:durableId="364604626">
    <w:abstractNumId w:val="14"/>
    <w:lvlOverride w:ilvl="0">
      <w:startOverride w:val="1"/>
    </w:lvlOverride>
  </w:num>
  <w:num w:numId="27" w16cid:durableId="5473055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26139678">
    <w:abstractNumId w:val="14"/>
    <w:lvlOverride w:ilvl="0">
      <w:startOverride w:val="1"/>
    </w:lvlOverride>
  </w:num>
  <w:num w:numId="29" w16cid:durableId="1466004126">
    <w:abstractNumId w:val="14"/>
  </w:num>
  <w:num w:numId="30" w16cid:durableId="89857614">
    <w:abstractNumId w:val="14"/>
  </w:num>
  <w:num w:numId="31" w16cid:durableId="1098064010">
    <w:abstractNumId w:val="14"/>
  </w:num>
  <w:num w:numId="32" w16cid:durableId="1423334354">
    <w:abstractNumId w:val="14"/>
  </w:num>
  <w:num w:numId="33" w16cid:durableId="189346282">
    <w:abstractNumId w:val="14"/>
  </w:num>
  <w:num w:numId="34" w16cid:durableId="1172455603">
    <w:abstractNumId w:val="14"/>
    <w:lvlOverride w:ilvl="0">
      <w:startOverride w:val="1"/>
    </w:lvlOverride>
  </w:num>
  <w:num w:numId="35" w16cid:durableId="828715505">
    <w:abstractNumId w:val="14"/>
  </w:num>
  <w:num w:numId="36" w16cid:durableId="726222295">
    <w:abstractNumId w:val="18"/>
  </w:num>
  <w:num w:numId="37" w16cid:durableId="501437914">
    <w:abstractNumId w:val="19"/>
  </w:num>
  <w:num w:numId="38" w16cid:durableId="1455561027">
    <w:abstractNumId w:val="22"/>
  </w:num>
  <w:num w:numId="39" w16cid:durableId="384449335">
    <w:abstractNumId w:val="20"/>
  </w:num>
  <w:num w:numId="40" w16cid:durableId="2068214272">
    <w:abstractNumId w:val="21"/>
  </w:num>
  <w:num w:numId="41" w16cid:durableId="49158157">
    <w:abstractNumId w:val="10"/>
  </w:num>
  <w:num w:numId="42" w16cid:durableId="712385451">
    <w:abstractNumId w:val="11"/>
  </w:num>
  <w:num w:numId="43" w16cid:durableId="1192958136">
    <w:abstractNumId w:val="13"/>
  </w:num>
  <w:num w:numId="44" w16cid:durableId="874271836">
    <w:abstractNumId w:val="16"/>
  </w:num>
  <w:num w:numId="45" w16cid:durableId="2776830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2CE"/>
    <w:rsid w:val="00003743"/>
    <w:rsid w:val="00022060"/>
    <w:rsid w:val="00055ECF"/>
    <w:rsid w:val="00056198"/>
    <w:rsid w:val="00064071"/>
    <w:rsid w:val="00067456"/>
    <w:rsid w:val="00074DF8"/>
    <w:rsid w:val="00075136"/>
    <w:rsid w:val="000812C9"/>
    <w:rsid w:val="00081572"/>
    <w:rsid w:val="00083D01"/>
    <w:rsid w:val="00093A3B"/>
    <w:rsid w:val="000A53CA"/>
    <w:rsid w:val="000A5C9B"/>
    <w:rsid w:val="000B5CDF"/>
    <w:rsid w:val="000C176A"/>
    <w:rsid w:val="000C2862"/>
    <w:rsid w:val="000C3FC4"/>
    <w:rsid w:val="000C54F9"/>
    <w:rsid w:val="000C624E"/>
    <w:rsid w:val="000E207C"/>
    <w:rsid w:val="000E26CF"/>
    <w:rsid w:val="000E3CDD"/>
    <w:rsid w:val="000E5B33"/>
    <w:rsid w:val="000E789D"/>
    <w:rsid w:val="000F65DE"/>
    <w:rsid w:val="00113472"/>
    <w:rsid w:val="001247BB"/>
    <w:rsid w:val="00132F61"/>
    <w:rsid w:val="00135C0E"/>
    <w:rsid w:val="0013679E"/>
    <w:rsid w:val="00152D99"/>
    <w:rsid w:val="0018355E"/>
    <w:rsid w:val="001A2D97"/>
    <w:rsid w:val="001B3443"/>
    <w:rsid w:val="001C1CEA"/>
    <w:rsid w:val="001E4484"/>
    <w:rsid w:val="001F1037"/>
    <w:rsid w:val="001F3E96"/>
    <w:rsid w:val="00200606"/>
    <w:rsid w:val="00221391"/>
    <w:rsid w:val="00226BFC"/>
    <w:rsid w:val="00227D2E"/>
    <w:rsid w:val="00232207"/>
    <w:rsid w:val="00245547"/>
    <w:rsid w:val="002461C1"/>
    <w:rsid w:val="00262DCB"/>
    <w:rsid w:val="00282075"/>
    <w:rsid w:val="002A69C9"/>
    <w:rsid w:val="002D75D9"/>
    <w:rsid w:val="002E4840"/>
    <w:rsid w:val="002F2BCF"/>
    <w:rsid w:val="002F36A3"/>
    <w:rsid w:val="003033A8"/>
    <w:rsid w:val="00307297"/>
    <w:rsid w:val="0030786C"/>
    <w:rsid w:val="00313943"/>
    <w:rsid w:val="00316F6F"/>
    <w:rsid w:val="00317B69"/>
    <w:rsid w:val="00324093"/>
    <w:rsid w:val="00345291"/>
    <w:rsid w:val="00363367"/>
    <w:rsid w:val="00374EA8"/>
    <w:rsid w:val="003821FA"/>
    <w:rsid w:val="00392909"/>
    <w:rsid w:val="003A3851"/>
    <w:rsid w:val="003A4296"/>
    <w:rsid w:val="003B6439"/>
    <w:rsid w:val="003C5FCE"/>
    <w:rsid w:val="003D17F9"/>
    <w:rsid w:val="003D3A1F"/>
    <w:rsid w:val="003D3D19"/>
    <w:rsid w:val="003D7A2D"/>
    <w:rsid w:val="003E229A"/>
    <w:rsid w:val="003F043A"/>
    <w:rsid w:val="003F0495"/>
    <w:rsid w:val="003F26C8"/>
    <w:rsid w:val="00413571"/>
    <w:rsid w:val="00414F88"/>
    <w:rsid w:val="0041771E"/>
    <w:rsid w:val="00421B79"/>
    <w:rsid w:val="00431897"/>
    <w:rsid w:val="00452534"/>
    <w:rsid w:val="004543C9"/>
    <w:rsid w:val="0046641E"/>
    <w:rsid w:val="00486114"/>
    <w:rsid w:val="004867E2"/>
    <w:rsid w:val="004918F2"/>
    <w:rsid w:val="00497764"/>
    <w:rsid w:val="004B0826"/>
    <w:rsid w:val="004B60EA"/>
    <w:rsid w:val="004C1C10"/>
    <w:rsid w:val="004D46C5"/>
    <w:rsid w:val="004D48F9"/>
    <w:rsid w:val="004D6CE2"/>
    <w:rsid w:val="004E31A8"/>
    <w:rsid w:val="004F286D"/>
    <w:rsid w:val="00507D0B"/>
    <w:rsid w:val="005101DC"/>
    <w:rsid w:val="00555744"/>
    <w:rsid w:val="005557B5"/>
    <w:rsid w:val="0057671C"/>
    <w:rsid w:val="00581B98"/>
    <w:rsid w:val="0058320B"/>
    <w:rsid w:val="00590445"/>
    <w:rsid w:val="005A177B"/>
    <w:rsid w:val="005A6E69"/>
    <w:rsid w:val="005B2194"/>
    <w:rsid w:val="005C743D"/>
    <w:rsid w:val="005D2A6B"/>
    <w:rsid w:val="005E0D22"/>
    <w:rsid w:val="005E2831"/>
    <w:rsid w:val="005E60EC"/>
    <w:rsid w:val="005E7C38"/>
    <w:rsid w:val="00607DF1"/>
    <w:rsid w:val="00633AC4"/>
    <w:rsid w:val="006375AE"/>
    <w:rsid w:val="006377B4"/>
    <w:rsid w:val="0064369E"/>
    <w:rsid w:val="00651F61"/>
    <w:rsid w:val="00660929"/>
    <w:rsid w:val="00665D42"/>
    <w:rsid w:val="00681301"/>
    <w:rsid w:val="006844E7"/>
    <w:rsid w:val="00685B2A"/>
    <w:rsid w:val="00695AA5"/>
    <w:rsid w:val="006A6444"/>
    <w:rsid w:val="006A7F23"/>
    <w:rsid w:val="006C01D0"/>
    <w:rsid w:val="006C37D8"/>
    <w:rsid w:val="006C7721"/>
    <w:rsid w:val="006F5B3F"/>
    <w:rsid w:val="00705BE7"/>
    <w:rsid w:val="00714482"/>
    <w:rsid w:val="007359CA"/>
    <w:rsid w:val="00745671"/>
    <w:rsid w:val="007568D4"/>
    <w:rsid w:val="00756CDC"/>
    <w:rsid w:val="007577FB"/>
    <w:rsid w:val="00763DD8"/>
    <w:rsid w:val="007705EB"/>
    <w:rsid w:val="00792542"/>
    <w:rsid w:val="00793165"/>
    <w:rsid w:val="00793D6C"/>
    <w:rsid w:val="007C32DE"/>
    <w:rsid w:val="007C3C2F"/>
    <w:rsid w:val="007C4D6B"/>
    <w:rsid w:val="007C624C"/>
    <w:rsid w:val="007E6479"/>
    <w:rsid w:val="007F6326"/>
    <w:rsid w:val="008124D5"/>
    <w:rsid w:val="008151AF"/>
    <w:rsid w:val="00815209"/>
    <w:rsid w:val="00816C69"/>
    <w:rsid w:val="00820007"/>
    <w:rsid w:val="00820102"/>
    <w:rsid w:val="008201F9"/>
    <w:rsid w:val="0082540D"/>
    <w:rsid w:val="008264EB"/>
    <w:rsid w:val="00830677"/>
    <w:rsid w:val="00832291"/>
    <w:rsid w:val="00844333"/>
    <w:rsid w:val="0086094A"/>
    <w:rsid w:val="0086270D"/>
    <w:rsid w:val="00867F5E"/>
    <w:rsid w:val="00871C17"/>
    <w:rsid w:val="00877AED"/>
    <w:rsid w:val="00894408"/>
    <w:rsid w:val="008A0FD8"/>
    <w:rsid w:val="008D22B5"/>
    <w:rsid w:val="008D3DFA"/>
    <w:rsid w:val="008D5CEF"/>
    <w:rsid w:val="008E3C95"/>
    <w:rsid w:val="008E5CC9"/>
    <w:rsid w:val="008F6A81"/>
    <w:rsid w:val="00900196"/>
    <w:rsid w:val="00916C2A"/>
    <w:rsid w:val="009331AA"/>
    <w:rsid w:val="00936376"/>
    <w:rsid w:val="00941EA6"/>
    <w:rsid w:val="0095323F"/>
    <w:rsid w:val="009578D2"/>
    <w:rsid w:val="00975F16"/>
    <w:rsid w:val="00991CB3"/>
    <w:rsid w:val="00996CB5"/>
    <w:rsid w:val="009A2988"/>
    <w:rsid w:val="009A71B3"/>
    <w:rsid w:val="009B447D"/>
    <w:rsid w:val="009B71AE"/>
    <w:rsid w:val="009C1A47"/>
    <w:rsid w:val="009C3981"/>
    <w:rsid w:val="009C621E"/>
    <w:rsid w:val="009D14E4"/>
    <w:rsid w:val="009E562C"/>
    <w:rsid w:val="00A035B2"/>
    <w:rsid w:val="00A1582A"/>
    <w:rsid w:val="00A26FD4"/>
    <w:rsid w:val="00A314AD"/>
    <w:rsid w:val="00A34475"/>
    <w:rsid w:val="00A4512D"/>
    <w:rsid w:val="00A529B8"/>
    <w:rsid w:val="00A54236"/>
    <w:rsid w:val="00A576FA"/>
    <w:rsid w:val="00A6070D"/>
    <w:rsid w:val="00A672D5"/>
    <w:rsid w:val="00A705AF"/>
    <w:rsid w:val="00A8486E"/>
    <w:rsid w:val="00A91484"/>
    <w:rsid w:val="00A96DCC"/>
    <w:rsid w:val="00AB01DA"/>
    <w:rsid w:val="00AD1CD6"/>
    <w:rsid w:val="00AD552F"/>
    <w:rsid w:val="00AE19C6"/>
    <w:rsid w:val="00AE66D7"/>
    <w:rsid w:val="00AF798B"/>
    <w:rsid w:val="00B0344A"/>
    <w:rsid w:val="00B05BEA"/>
    <w:rsid w:val="00B12FAD"/>
    <w:rsid w:val="00B13265"/>
    <w:rsid w:val="00B14D8C"/>
    <w:rsid w:val="00B17F83"/>
    <w:rsid w:val="00B202CE"/>
    <w:rsid w:val="00B25298"/>
    <w:rsid w:val="00B3109D"/>
    <w:rsid w:val="00B42851"/>
    <w:rsid w:val="00B56EE1"/>
    <w:rsid w:val="00B606CE"/>
    <w:rsid w:val="00BA183B"/>
    <w:rsid w:val="00BA34F4"/>
    <w:rsid w:val="00BC266E"/>
    <w:rsid w:val="00BC68CF"/>
    <w:rsid w:val="00C1338F"/>
    <w:rsid w:val="00C16EFB"/>
    <w:rsid w:val="00C26C8A"/>
    <w:rsid w:val="00C302C0"/>
    <w:rsid w:val="00C31E11"/>
    <w:rsid w:val="00C36957"/>
    <w:rsid w:val="00C458E1"/>
    <w:rsid w:val="00C77FBE"/>
    <w:rsid w:val="00C84175"/>
    <w:rsid w:val="00C871A3"/>
    <w:rsid w:val="00CA4DB7"/>
    <w:rsid w:val="00CA5F1F"/>
    <w:rsid w:val="00CB0F03"/>
    <w:rsid w:val="00CB1F19"/>
    <w:rsid w:val="00CB5B1A"/>
    <w:rsid w:val="00CC5D76"/>
    <w:rsid w:val="00CD2D63"/>
    <w:rsid w:val="00CD4A28"/>
    <w:rsid w:val="00CE0B46"/>
    <w:rsid w:val="00CF4B2E"/>
    <w:rsid w:val="00CF536F"/>
    <w:rsid w:val="00D03A55"/>
    <w:rsid w:val="00D14831"/>
    <w:rsid w:val="00D17054"/>
    <w:rsid w:val="00D2124B"/>
    <w:rsid w:val="00D215CD"/>
    <w:rsid w:val="00D247CA"/>
    <w:rsid w:val="00D27ACA"/>
    <w:rsid w:val="00D300C2"/>
    <w:rsid w:val="00D321A0"/>
    <w:rsid w:val="00D52F8B"/>
    <w:rsid w:val="00D53109"/>
    <w:rsid w:val="00D54139"/>
    <w:rsid w:val="00D56E83"/>
    <w:rsid w:val="00D5788B"/>
    <w:rsid w:val="00D62242"/>
    <w:rsid w:val="00D64E1B"/>
    <w:rsid w:val="00D66381"/>
    <w:rsid w:val="00D71897"/>
    <w:rsid w:val="00D77A10"/>
    <w:rsid w:val="00D80EFB"/>
    <w:rsid w:val="00D972E0"/>
    <w:rsid w:val="00DE7239"/>
    <w:rsid w:val="00DF189B"/>
    <w:rsid w:val="00DF6B0E"/>
    <w:rsid w:val="00DF715A"/>
    <w:rsid w:val="00E01B36"/>
    <w:rsid w:val="00E1409E"/>
    <w:rsid w:val="00E15715"/>
    <w:rsid w:val="00E21C80"/>
    <w:rsid w:val="00E25B2E"/>
    <w:rsid w:val="00E330D2"/>
    <w:rsid w:val="00E3581E"/>
    <w:rsid w:val="00E4388C"/>
    <w:rsid w:val="00E4525F"/>
    <w:rsid w:val="00E463C6"/>
    <w:rsid w:val="00E7483F"/>
    <w:rsid w:val="00E913A4"/>
    <w:rsid w:val="00EA65E9"/>
    <w:rsid w:val="00EB6A7A"/>
    <w:rsid w:val="00EC1D26"/>
    <w:rsid w:val="00EC443A"/>
    <w:rsid w:val="00EC654F"/>
    <w:rsid w:val="00EF6C42"/>
    <w:rsid w:val="00EF7882"/>
    <w:rsid w:val="00F010F9"/>
    <w:rsid w:val="00F2241F"/>
    <w:rsid w:val="00F311D8"/>
    <w:rsid w:val="00F35286"/>
    <w:rsid w:val="00F52124"/>
    <w:rsid w:val="00F55A27"/>
    <w:rsid w:val="00F55D40"/>
    <w:rsid w:val="00F55FBA"/>
    <w:rsid w:val="00F61D55"/>
    <w:rsid w:val="00F735B2"/>
    <w:rsid w:val="00F73B7B"/>
    <w:rsid w:val="00F81876"/>
    <w:rsid w:val="00FB4582"/>
    <w:rsid w:val="00FE2D5B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4DB2F2"/>
  <w15:docId w15:val="{3944A199-9BBB-4E66-BF88-8573581E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BC68CF"/>
    <w:rPr>
      <w:sz w:val="20"/>
    </w:rPr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character" w:styleId="Hyperlink">
    <w:name w:val="Hyperlink"/>
    <w:basedOn w:val="DefaultParagraphFont"/>
    <w:unhideWhenUsed/>
    <w:rsid w:val="00F55FBA"/>
    <w:rPr>
      <w:color w:val="0000FF" w:themeColor="hyperlink"/>
      <w:u w:val="single"/>
    </w:rPr>
  </w:style>
  <w:style w:type="paragraph" w:customStyle="1" w:styleId="StepText">
    <w:name w:val="Step Text"/>
    <w:basedOn w:val="Normal"/>
    <w:qFormat/>
    <w:rsid w:val="00A34475"/>
    <w:rPr>
      <w:rFonts w:ascii="Arial" w:eastAsiaTheme="minorHAnsi" w:hAnsi="Arial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B0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header" Target="header1.xml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6953A-B4C5-476E-8623-E1E0D8EB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1368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Navigate the nKPI-OSR Form in the Health Data Portal</vt:lpstr>
    </vt:vector>
  </TitlesOfParts>
  <Company>Department of Immigration and Border Protection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Navigate the nKPI-OSR Form in the Health Data Portal</dc:title>
  <dc:creator>Joel Dennerley</dc:creator>
  <cp:lastModifiedBy>DUNN, Stuart</cp:lastModifiedBy>
  <cp:revision>61</cp:revision>
  <cp:lastPrinted>2018-06-29T05:50:00Z</cp:lastPrinted>
  <dcterms:created xsi:type="dcterms:W3CDTF">2019-11-11T01:22:00Z</dcterms:created>
  <dcterms:modified xsi:type="dcterms:W3CDTF">2023-10-20T00:39:00Z</dcterms:modified>
</cp:coreProperties>
</file>