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7395" w14:textId="1A583F7D" w:rsidR="00D14831" w:rsidRPr="00F735B2" w:rsidRDefault="00FB0CE6" w:rsidP="00F735B2">
      <w:pPr>
        <w:pStyle w:val="QRGText"/>
        <w:sectPr w:rsidR="00D14831" w:rsidRPr="00F735B2" w:rsidSect="00316F6F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1188CB" wp14:editId="4DDC25BF">
                <wp:simplePos x="0" y="0"/>
                <wp:positionH relativeFrom="column">
                  <wp:posOffset>3008630</wp:posOffset>
                </wp:positionH>
                <wp:positionV relativeFrom="paragraph">
                  <wp:posOffset>-805180</wp:posOffset>
                </wp:positionV>
                <wp:extent cx="4147820" cy="52006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45C1E" w14:textId="77777777" w:rsidR="00CD2673" w:rsidRPr="007179D1" w:rsidRDefault="000F704B" w:rsidP="00CD267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Extract a Publication from </w:t>
                            </w:r>
                            <w:r w:rsidR="0000246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F9296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Health Data </w:t>
                            </w:r>
                            <w:r w:rsidR="0000246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1188C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36.9pt;margin-top:-63.4pt;width:326.6pt;height:40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" filled="f" stroked="f">
                <v:textbox style="mso-fit-shape-to-text:t">
                  <w:txbxContent>
                    <w:p w14:paraId="21545C1E" w14:textId="77777777" w:rsidR="00CD2673" w:rsidRPr="007179D1" w:rsidRDefault="000F704B" w:rsidP="00CD267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Extract a Publication from </w:t>
                      </w:r>
                      <w:r w:rsidR="0000246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F9296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Health Data </w:t>
                      </w:r>
                      <w:r w:rsidR="0000246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Portal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D4C64D" wp14:editId="20BF72E2">
            <wp:simplePos x="0" y="0"/>
            <wp:positionH relativeFrom="column">
              <wp:posOffset>-140970</wp:posOffset>
            </wp:positionH>
            <wp:positionV relativeFrom="paragraph">
              <wp:posOffset>-880745</wp:posOffset>
            </wp:positionV>
            <wp:extent cx="2705100" cy="744855"/>
            <wp:effectExtent l="0" t="0" r="0" b="0"/>
            <wp:wrapThrough wrapText="bothSides">
              <wp:wrapPolygon edited="0">
                <wp:start x="0" y="0"/>
                <wp:lineTo x="0" y="20992"/>
                <wp:lineTo x="21448" y="20992"/>
                <wp:lineTo x="21448" y="0"/>
                <wp:lineTo x="0" y="0"/>
              </wp:wrapPolygon>
            </wp:wrapThrough>
            <wp:docPr id="12" name="Picture 12" descr="Department of Health and Aged Care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epartment of Health and Aged Care cres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1AA">
        <w:t xml:space="preserve"> </w:t>
      </w:r>
    </w:p>
    <w:p w14:paraId="56AAD80B" w14:textId="77D6BC22" w:rsidR="009472E8" w:rsidRDefault="000F704B" w:rsidP="009472E8">
      <w:pPr>
        <w:pStyle w:val="QRGText"/>
      </w:pPr>
      <w:r>
        <w:t xml:space="preserve">Once a </w:t>
      </w:r>
      <w:r w:rsidR="008E0430">
        <w:t xml:space="preserve">file </w:t>
      </w:r>
      <w:r w:rsidR="00793764">
        <w:t>(</w:t>
      </w:r>
      <w:r w:rsidR="00764EBE">
        <w:t xml:space="preserve">known as a </w:t>
      </w:r>
      <w:r w:rsidR="00793764">
        <w:t>publication</w:t>
      </w:r>
      <w:r w:rsidR="00764EBE">
        <w:t xml:space="preserve"> in the Data Portal</w:t>
      </w:r>
      <w:r w:rsidR="00793764">
        <w:t xml:space="preserve">) </w:t>
      </w:r>
      <w:r>
        <w:t xml:space="preserve">has been published in the </w:t>
      </w:r>
      <w:r w:rsidR="00A23CD4">
        <w:t xml:space="preserve">Data </w:t>
      </w:r>
      <w:r>
        <w:t>Portal</w:t>
      </w:r>
      <w:r w:rsidR="00F9296B">
        <w:t xml:space="preserve"> by the Department of Health</w:t>
      </w:r>
      <w:r>
        <w:t xml:space="preserve">, </w:t>
      </w:r>
      <w:r w:rsidR="00764EBE">
        <w:t>it</w:t>
      </w:r>
      <w:r w:rsidR="00F9296B">
        <w:t xml:space="preserve"> can</w:t>
      </w:r>
      <w:r w:rsidR="004637AF">
        <w:t xml:space="preserve"> </w:t>
      </w:r>
      <w:r>
        <w:t>be viewed by users with the required permissions</w:t>
      </w:r>
      <w:r w:rsidR="002F49A1">
        <w:t xml:space="preserve"> in the </w:t>
      </w:r>
      <w:r w:rsidR="00A23CD4">
        <w:t xml:space="preserve">Data </w:t>
      </w:r>
      <w:r w:rsidR="002F49A1">
        <w:t>Portal</w:t>
      </w:r>
      <w:r>
        <w:t xml:space="preserve">, whether they </w:t>
      </w:r>
      <w:r w:rsidR="008E0430">
        <w:t>are</w:t>
      </w:r>
      <w:r>
        <w:t xml:space="preserve"> Health users or users from an external organisation.</w:t>
      </w:r>
    </w:p>
    <w:p w14:paraId="732F11AF" w14:textId="1AA45E48" w:rsidR="000F704B" w:rsidRDefault="000F704B" w:rsidP="009472E8">
      <w:pPr>
        <w:pStyle w:val="QRGText"/>
      </w:pPr>
      <w:r>
        <w:t xml:space="preserve">There will be circumstances where external users will be asked to access a particular </w:t>
      </w:r>
      <w:r w:rsidR="00565414">
        <w:t>publication</w:t>
      </w:r>
      <w:r>
        <w:t xml:space="preserve"> in the </w:t>
      </w:r>
      <w:r w:rsidR="00A23CD4">
        <w:t xml:space="preserve">Data </w:t>
      </w:r>
      <w:r>
        <w:t xml:space="preserve">Portal so they can extract </w:t>
      </w:r>
      <w:r w:rsidR="00565414">
        <w:t>it</w:t>
      </w:r>
      <w:r>
        <w:t xml:space="preserve"> </w:t>
      </w:r>
      <w:r w:rsidR="00565414">
        <w:t>for their own use</w:t>
      </w:r>
      <w:r>
        <w:t xml:space="preserve"> as required.</w:t>
      </w:r>
    </w:p>
    <w:p w14:paraId="6FC651CB" w14:textId="63957B58" w:rsidR="003D4EC5" w:rsidRPr="009472E8" w:rsidRDefault="003D4EC5" w:rsidP="009472E8">
      <w:pPr>
        <w:pStyle w:val="QRGText"/>
      </w:pPr>
      <w:r>
        <w:t xml:space="preserve">To </w:t>
      </w:r>
      <w:r w:rsidR="000F704B">
        <w:t xml:space="preserve">extract a publication from </w:t>
      </w:r>
      <w:r w:rsidR="00D63FB1">
        <w:t>the Data Portal</w:t>
      </w:r>
      <w:r>
        <w:t>:</w:t>
      </w:r>
    </w:p>
    <w:p w14:paraId="263CD641" w14:textId="77777777" w:rsidR="009472E8" w:rsidRDefault="009472E8" w:rsidP="009472E8">
      <w:pPr>
        <w:pStyle w:val="QRGNumbering1"/>
      </w:pPr>
      <w:r w:rsidRPr="009472E8">
        <w:t>Open the Health Data Portal</w:t>
      </w:r>
      <w:r w:rsidR="0002696B">
        <w:t xml:space="preserve"> through </w:t>
      </w:r>
      <w:hyperlink r:id="rId10" w:history="1">
        <w:r w:rsidR="000F6E46">
          <w:rPr>
            <w:rStyle w:val="Hyperlink"/>
          </w:rPr>
          <w:t>Health Data Portal</w:t>
        </w:r>
      </w:hyperlink>
      <w:r w:rsidR="0002696B">
        <w:t>.</w:t>
      </w:r>
    </w:p>
    <w:p w14:paraId="06F438AF" w14:textId="12C60AAA" w:rsidR="00911EF7" w:rsidRDefault="00911EF7" w:rsidP="00911EF7">
      <w:pPr>
        <w:pStyle w:val="QRGNumbering1"/>
      </w:pPr>
      <w:r>
        <w:t xml:space="preserve">Log in using the information provided in the </w:t>
      </w:r>
      <w:r w:rsidR="00914899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622F4679" w14:textId="6C4E1DF2" w:rsidR="00911EF7" w:rsidRDefault="00911EF7" w:rsidP="003D5F92">
      <w:pPr>
        <w:pStyle w:val="QRGText"/>
      </w:pPr>
      <w:r>
        <w:t xml:space="preserve">The Data Portal </w:t>
      </w:r>
      <w:r w:rsidR="00A83B61">
        <w:t>h</w:t>
      </w:r>
      <w:r>
        <w:t>ome screen will display.</w:t>
      </w:r>
    </w:p>
    <w:p w14:paraId="1DA7B7A9" w14:textId="459EB623" w:rsidR="00907C9C" w:rsidRPr="00907C9C" w:rsidRDefault="00907C9C" w:rsidP="00907C9C">
      <w:pPr>
        <w:pStyle w:val="QRGPictureCentre"/>
      </w:pPr>
      <w:r>
        <w:drawing>
          <wp:inline distT="0" distB="0" distL="0" distR="0" wp14:anchorId="74BE405E" wp14:editId="41B84651">
            <wp:extent cx="3101340" cy="571500"/>
            <wp:effectExtent l="19050" t="19050" r="22860" b="19050"/>
            <wp:docPr id="1" name="Picture 1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71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D93901" w14:textId="23682E19" w:rsidR="009472E8" w:rsidRPr="009472E8" w:rsidRDefault="009472E8" w:rsidP="009472E8">
      <w:pPr>
        <w:pStyle w:val="QRGNumbering1"/>
      </w:pPr>
      <w:r w:rsidRPr="009472E8">
        <w:t xml:space="preserve">From the Data Portal </w:t>
      </w:r>
      <w:r w:rsidR="00A83B61">
        <w:t>h</w:t>
      </w:r>
      <w:r w:rsidRPr="009472E8">
        <w:t xml:space="preserve">ome screen, </w:t>
      </w:r>
      <w:r w:rsidR="000F704B">
        <w:t xml:space="preserve">select </w:t>
      </w:r>
      <w:r w:rsidRPr="009472E8">
        <w:t xml:space="preserve">the </w:t>
      </w:r>
      <w:r w:rsidR="00764EBE">
        <w:t>data asset the publication is contained in,</w:t>
      </w:r>
      <w:r w:rsidR="000F704B">
        <w:t xml:space="preserve"> or search for it if needed</w:t>
      </w:r>
      <w:r w:rsidR="00764EBE">
        <w:t xml:space="preserve">, </w:t>
      </w:r>
      <w:r w:rsidR="00B0368F">
        <w:t>in the</w:t>
      </w:r>
      <w:r w:rsidR="00764EBE">
        <w:t xml:space="preserve"> Data Assets section of the screen</w:t>
      </w:r>
      <w:r w:rsidRPr="009472E8">
        <w:t xml:space="preserve">. </w:t>
      </w:r>
    </w:p>
    <w:p w14:paraId="736CB0B4" w14:textId="77777777" w:rsidR="009472E8" w:rsidRPr="009472E8" w:rsidRDefault="009472E8" w:rsidP="009472E8">
      <w:pPr>
        <w:pStyle w:val="QRGText"/>
        <w:ind w:left="142"/>
      </w:pPr>
      <w:r w:rsidRPr="009472E8">
        <w:t xml:space="preserve">For more information on how to search for a </w:t>
      </w:r>
      <w:r w:rsidR="00764EBE">
        <w:t>data asset</w:t>
      </w:r>
      <w:r w:rsidRPr="009472E8">
        <w:t xml:space="preserve">, see the </w:t>
      </w:r>
      <w:r w:rsidRPr="009472E8">
        <w:rPr>
          <w:i/>
        </w:rPr>
        <w:t>Get Started in the Health Data Portal</w:t>
      </w:r>
      <w:r w:rsidRPr="009472E8">
        <w:t xml:space="preserve"> QRG.</w:t>
      </w:r>
    </w:p>
    <w:p w14:paraId="2BC3E553" w14:textId="77777777" w:rsidR="009472E8" w:rsidRPr="009472E8" w:rsidRDefault="00703051" w:rsidP="009472E8">
      <w:pPr>
        <w:pStyle w:val="QRGText"/>
      </w:pPr>
      <w:r>
        <w:rPr>
          <w:noProof/>
          <w:lang w:eastAsia="en-AU"/>
        </w:rPr>
        <w:drawing>
          <wp:inline distT="0" distB="0" distL="0" distR="0" wp14:anchorId="3DE2D4CE" wp14:editId="70C38F08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F704B">
        <w:t>T</w:t>
      </w:r>
      <w:r w:rsidR="009472E8" w:rsidRPr="009472E8">
        <w:t xml:space="preserve">he </w:t>
      </w:r>
      <w:r w:rsidR="00764EBE">
        <w:t>data asset’s</w:t>
      </w:r>
      <w:r w:rsidR="009472E8" w:rsidRPr="009472E8">
        <w:t xml:space="preserve"> status </w:t>
      </w:r>
      <w:r w:rsidR="000F704B">
        <w:t>should be</w:t>
      </w:r>
      <w:r w:rsidR="009472E8" w:rsidRPr="009472E8">
        <w:t xml:space="preserve"> </w:t>
      </w:r>
      <w:r w:rsidR="000F704B">
        <w:rPr>
          <w:i/>
        </w:rPr>
        <w:t>Published</w:t>
      </w:r>
    </w:p>
    <w:p w14:paraId="1541656A" w14:textId="20B8FA2C" w:rsidR="009472E8" w:rsidRPr="009472E8" w:rsidRDefault="009472E8" w:rsidP="00CC766D">
      <w:pPr>
        <w:pStyle w:val="QRGNumbering1"/>
      </w:pPr>
      <w:r w:rsidRPr="009472E8">
        <w:t xml:space="preserve">Select the </w:t>
      </w:r>
      <w:r w:rsidR="00764EBE">
        <w:t>data asset</w:t>
      </w:r>
      <w:r w:rsidRPr="009472E8">
        <w:t xml:space="preserve"> to</w:t>
      </w:r>
      <w:r w:rsidR="000F704B">
        <w:t xml:space="preserve"> be </w:t>
      </w:r>
      <w:r w:rsidRPr="009472E8">
        <w:t>viewed.</w:t>
      </w:r>
    </w:p>
    <w:p w14:paraId="08DC5932" w14:textId="77777777" w:rsidR="009472E8" w:rsidRDefault="009472E8" w:rsidP="009472E8">
      <w:pPr>
        <w:pStyle w:val="QRGText"/>
      </w:pPr>
      <w:r w:rsidRPr="009472E8">
        <w:t>The Data Asset Details screen will display</w:t>
      </w:r>
      <w:r w:rsidR="00E539AE">
        <w:t xml:space="preserve"> and the attached publication can be seen in the </w:t>
      </w:r>
      <w:r w:rsidR="00E539AE" w:rsidRPr="00E539AE">
        <w:rPr>
          <w:b/>
        </w:rPr>
        <w:t>Files</w:t>
      </w:r>
      <w:r w:rsidR="00E539AE">
        <w:t xml:space="preserve"> section.</w:t>
      </w:r>
    </w:p>
    <w:p w14:paraId="085683CC" w14:textId="77777777" w:rsidR="00646CBC" w:rsidRDefault="0065713F" w:rsidP="00B737A0">
      <w:pPr>
        <w:pStyle w:val="QRGPictureCentre"/>
      </w:pPr>
      <w:r>
        <w:drawing>
          <wp:inline distT="0" distB="0" distL="0" distR="0" wp14:anchorId="30F7EA64" wp14:editId="31E7D399">
            <wp:extent cx="3105785" cy="393065"/>
            <wp:effectExtent l="19050" t="19050" r="18415" b="26035"/>
            <wp:docPr id="6" name="Picture 6" descr="picture of the Files section with the file name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393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0AD829" w14:textId="77777777" w:rsidR="000F6E46" w:rsidRDefault="00EB5A94" w:rsidP="000F6E46">
      <w:pPr>
        <w:pStyle w:val="QRGNumbering1"/>
      </w:pPr>
      <w:r>
        <w:t xml:space="preserve">To </w:t>
      </w:r>
      <w:r w:rsidR="00B2448B">
        <w:t xml:space="preserve">extract the publication, </w:t>
      </w:r>
      <w:r w:rsidR="00F9296B">
        <w:t xml:space="preserve">either </w:t>
      </w:r>
      <w:r w:rsidR="00B2448B">
        <w:t xml:space="preserve">select </w:t>
      </w:r>
      <w:r w:rsidR="00B2448B">
        <w:rPr>
          <w:noProof/>
          <w:lang w:eastAsia="en-AU"/>
        </w:rPr>
        <w:drawing>
          <wp:inline distT="0" distB="0" distL="0" distR="0" wp14:anchorId="25AD632F" wp14:editId="548A99E3">
            <wp:extent cx="154800" cy="180000"/>
            <wp:effectExtent l="19050" t="19050" r="17145" b="10795"/>
            <wp:docPr id="5" name="Picture 5" title="Floppy disk sa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9296B">
        <w:t xml:space="preserve"> or the file name link.</w:t>
      </w:r>
    </w:p>
    <w:p w14:paraId="0D139FCC" w14:textId="77777777" w:rsidR="00B2448B" w:rsidRDefault="008E47D0" w:rsidP="000F6E46">
      <w:pPr>
        <w:pStyle w:val="QRGText"/>
        <w:ind w:left="142"/>
      </w:pPr>
      <w:r>
        <w:t xml:space="preserve">A pop up </w:t>
      </w:r>
      <w:r w:rsidR="00F9296B">
        <w:t xml:space="preserve">similar to the one below </w:t>
      </w:r>
      <w:r>
        <w:t>will appear in the bottom left hand corner of the screen</w:t>
      </w:r>
      <w:r w:rsidR="00F9296B">
        <w:t>.</w:t>
      </w:r>
    </w:p>
    <w:p w14:paraId="44E6152C" w14:textId="77777777" w:rsidR="008E47D0" w:rsidRDefault="008E47D0" w:rsidP="008E47D0">
      <w:pPr>
        <w:pStyle w:val="QRGPictureCentre"/>
      </w:pPr>
      <w:r>
        <w:drawing>
          <wp:inline distT="0" distB="0" distL="0" distR="0" wp14:anchorId="56D7F012" wp14:editId="5C523D50">
            <wp:extent cx="1188000" cy="252000"/>
            <wp:effectExtent l="19050" t="19050" r="12700" b="15240"/>
            <wp:docPr id="8" name="Picture 8" title="picture of download pop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2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C71E70" w14:textId="77777777" w:rsidR="0069147C" w:rsidRDefault="008E47D0" w:rsidP="0069147C">
      <w:pPr>
        <w:pStyle w:val="QRGNumbering1"/>
      </w:pPr>
      <w:r>
        <w:t xml:space="preserve">To download the </w:t>
      </w:r>
      <w:r w:rsidR="00764EBE">
        <w:t>publication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6B9AB785" wp14:editId="297F4B06">
            <wp:extent cx="104775" cy="85725"/>
            <wp:effectExtent l="0" t="0" r="9525" b="9525"/>
            <wp:docPr id="17" name="Picture 17" title="the up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30B73">
        <w:t xml:space="preserve">in the pop up </w:t>
      </w:r>
      <w:r>
        <w:t xml:space="preserve">and </w:t>
      </w:r>
      <w:r w:rsidR="00330B73">
        <w:t xml:space="preserve">then </w:t>
      </w:r>
      <w:r>
        <w:t xml:space="preserve">select </w:t>
      </w:r>
      <w:r w:rsidRPr="008E47D0">
        <w:rPr>
          <w:b/>
        </w:rPr>
        <w:t>Open</w:t>
      </w:r>
      <w:r>
        <w:t>.</w:t>
      </w:r>
    </w:p>
    <w:p w14:paraId="76E78647" w14:textId="77777777" w:rsidR="008E47D0" w:rsidRDefault="008E47D0" w:rsidP="008E47D0">
      <w:pPr>
        <w:pStyle w:val="QRGText"/>
      </w:pPr>
      <w:r>
        <w:t>The file will now open in the applicable application (PDF, Excel, Word</w:t>
      </w:r>
      <w:r w:rsidR="00793764">
        <w:t>,</w:t>
      </w:r>
      <w:r>
        <w:t xml:space="preserve"> etc</w:t>
      </w:r>
      <w:r w:rsidR="008E0430">
        <w:t>.</w:t>
      </w:r>
      <w:r>
        <w:t>)</w:t>
      </w:r>
      <w:r w:rsidR="00330B73">
        <w:t>.</w:t>
      </w:r>
    </w:p>
    <w:p w14:paraId="2B173899" w14:textId="73623C07" w:rsidR="008E47D0" w:rsidRDefault="00F9296B" w:rsidP="008E47D0">
      <w:pPr>
        <w:pStyle w:val="QRGNumbering1"/>
      </w:pPr>
      <w:r>
        <w:t>S</w:t>
      </w:r>
      <w:r w:rsidR="008E47D0">
        <w:t>ave the file/document to the required location as you normally would.</w:t>
      </w:r>
    </w:p>
    <w:p w14:paraId="34E30127" w14:textId="223D465D" w:rsidR="008E47D0" w:rsidRDefault="00330B73" w:rsidP="008E47D0">
      <w:pPr>
        <w:pStyle w:val="QRGNumbering1"/>
      </w:pPr>
      <w:r>
        <w:t xml:space="preserve">Once the document has been saved as required, </w:t>
      </w:r>
      <w:r w:rsidR="00F9296B">
        <w:t>return to</w:t>
      </w:r>
      <w:r>
        <w:t xml:space="preserve"> the </w:t>
      </w:r>
      <w:r w:rsidR="00A23CD4">
        <w:t xml:space="preserve">Data </w:t>
      </w:r>
      <w:r>
        <w:t xml:space="preserve">Portal and in the </w:t>
      </w:r>
      <w:r w:rsidR="00764EBE">
        <w:t>open data asset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136DF9A0" wp14:editId="3B9A4078">
            <wp:extent cx="417600" cy="180000"/>
            <wp:effectExtent l="19050" t="19050" r="20955" b="10795"/>
            <wp:docPr id="9" name="Picture 9" title="the Bac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03AFF828" w14:textId="77777777" w:rsidR="00330B73" w:rsidRDefault="00330B73" w:rsidP="00330B73">
      <w:pPr>
        <w:pStyle w:val="QRGText"/>
      </w:pPr>
      <w:r>
        <w:t>You will be returned to the Data Portal Home screen and you have now successfully extracted the publication.</w:t>
      </w:r>
    </w:p>
    <w:p w14:paraId="10CFD8D9" w14:textId="72986A1C" w:rsidR="008E0430" w:rsidRDefault="00F9296B" w:rsidP="008E0430">
      <w:pPr>
        <w:pStyle w:val="QRGNumbering1"/>
      </w:pPr>
      <w:r>
        <w:t>When ready, l</w:t>
      </w:r>
      <w:r w:rsidR="008E0430">
        <w:t xml:space="preserve">og out of the </w:t>
      </w:r>
      <w:r w:rsidR="00A23CD4">
        <w:t xml:space="preserve">Data </w:t>
      </w:r>
      <w:r w:rsidR="008E0430">
        <w:t>Portal</w:t>
      </w:r>
      <w:r>
        <w:t xml:space="preserve"> by selecting </w:t>
      </w:r>
      <w:r>
        <w:rPr>
          <w:noProof/>
          <w:lang w:eastAsia="en-AU"/>
        </w:rPr>
        <w:drawing>
          <wp:inline distT="0" distB="0" distL="0" distR="0" wp14:anchorId="2665B0AC" wp14:editId="778B290E">
            <wp:extent cx="154800" cy="108000"/>
            <wp:effectExtent l="19050" t="19050" r="17145" b="25400"/>
            <wp:docPr id="3" name="Picture 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" cy="1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5713F">
        <w:t xml:space="preserve">next to your name in the top right-hand corner of the screen </w:t>
      </w:r>
      <w:r>
        <w:t xml:space="preserve">and then </w:t>
      </w:r>
      <w:r w:rsidRPr="00F9296B">
        <w:rPr>
          <w:b/>
        </w:rPr>
        <w:t>Log Off</w:t>
      </w:r>
      <w:r>
        <w:t>.</w:t>
      </w:r>
    </w:p>
    <w:p w14:paraId="10BEA6CC" w14:textId="77777777" w:rsidR="00330B73" w:rsidRDefault="00330B73" w:rsidP="00330B73">
      <w:pPr>
        <w:pStyle w:val="QRGText"/>
      </w:pPr>
      <w:r>
        <w:rPr>
          <w:noProof/>
          <w:lang w:eastAsia="en-AU"/>
        </w:rPr>
        <w:drawing>
          <wp:inline distT="0" distB="0" distL="0" distR="0" wp14:anchorId="3CA2D215" wp14:editId="63462831">
            <wp:extent cx="252000" cy="252000"/>
            <wp:effectExtent l="0" t="0" r="0" b="0"/>
            <wp:docPr id="11" name="Picture 1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Please note that administrators within the Department of Health can see that you have downloaded the publication by opening the </w:t>
      </w:r>
      <w:r w:rsidRPr="00571CAC">
        <w:rPr>
          <w:i/>
        </w:rPr>
        <w:t xml:space="preserve">Users that have downloaded a file from this data asset </w:t>
      </w:r>
      <w:r>
        <w:t>section</w:t>
      </w:r>
      <w:r w:rsidR="00764EBE">
        <w:t xml:space="preserve"> of the data asset</w:t>
      </w:r>
      <w:r>
        <w:t>.</w:t>
      </w:r>
    </w:p>
    <w:sectPr w:rsidR="00330B73" w:rsidSect="00D05A3F">
      <w:type w:val="continuous"/>
      <w:pgSz w:w="11906" w:h="16838" w:code="9"/>
      <w:pgMar w:top="2127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C3C8" w14:textId="77777777" w:rsidR="00080CF1" w:rsidRDefault="00080CF1" w:rsidP="00AF798B">
      <w:pPr>
        <w:spacing w:before="0" w:after="0"/>
      </w:pPr>
      <w:r>
        <w:separator/>
      </w:r>
    </w:p>
    <w:p w14:paraId="32D2DCBF" w14:textId="77777777" w:rsidR="00080CF1" w:rsidRDefault="00080CF1"/>
  </w:endnote>
  <w:endnote w:type="continuationSeparator" w:id="0">
    <w:p w14:paraId="594531AC" w14:textId="77777777" w:rsidR="00080CF1" w:rsidRDefault="00080CF1" w:rsidP="00AF798B">
      <w:pPr>
        <w:spacing w:before="0" w:after="0"/>
      </w:pPr>
      <w:r>
        <w:continuationSeparator/>
      </w:r>
    </w:p>
    <w:p w14:paraId="4E8F77AA" w14:textId="77777777" w:rsidR="00080CF1" w:rsidRDefault="00080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409B395E" w14:textId="58D029F4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914899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fldSimple w:instr=" NUMPAGES  ">
              <w:r w:rsidR="00914899">
                <w:rPr>
                  <w:noProof/>
                </w:rPr>
                <w:t>1</w:t>
              </w:r>
            </w:fldSimple>
          </w:p>
        </w:sdtContent>
      </w:sdt>
    </w:sdtContent>
  </w:sdt>
  <w:p w14:paraId="1DF4AAAF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37F7" w14:textId="77777777" w:rsidR="00080CF1" w:rsidRDefault="00080CF1" w:rsidP="00AF798B">
      <w:pPr>
        <w:spacing w:before="0" w:after="0"/>
      </w:pPr>
      <w:r>
        <w:separator/>
      </w:r>
    </w:p>
    <w:p w14:paraId="11C6CB29" w14:textId="77777777" w:rsidR="00080CF1" w:rsidRDefault="00080CF1"/>
  </w:footnote>
  <w:footnote w:type="continuationSeparator" w:id="0">
    <w:p w14:paraId="6C8A5713" w14:textId="77777777" w:rsidR="00080CF1" w:rsidRDefault="00080CF1" w:rsidP="00AF798B">
      <w:pPr>
        <w:spacing w:before="0" w:after="0"/>
      </w:pPr>
      <w:r>
        <w:continuationSeparator/>
      </w:r>
    </w:p>
    <w:p w14:paraId="123B7229" w14:textId="77777777" w:rsidR="00080CF1" w:rsidRDefault="00080C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553F" w14:textId="69DBFDB0" w:rsidR="00AF798B" w:rsidRPr="000767A1" w:rsidRDefault="00220CC4" w:rsidP="000767A1">
    <w:pPr>
      <w:pStyle w:val="QRGheadergood"/>
    </w:pPr>
    <w:r w:rsidRPr="000628A2">
      <w:drawing>
        <wp:anchor distT="0" distB="0" distL="114300" distR="114300" simplePos="0" relativeHeight="251658240" behindDoc="0" locked="0" layoutInCell="1" allowOverlap="1" wp14:anchorId="37A03B6E" wp14:editId="11F8AB9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4" name="Picture 4" descr="Top banner showing the Department of Health crest and the &quot;Extract a Publication from the Health Data Portal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D41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E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AAB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DA5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7C6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B6A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E62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968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2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9AF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479A5F5C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76D5E"/>
    <w:multiLevelType w:val="hybridMultilevel"/>
    <w:tmpl w:val="DC0692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654"/>
    <w:rsid w:val="00002462"/>
    <w:rsid w:val="00003743"/>
    <w:rsid w:val="00024DC4"/>
    <w:rsid w:val="0002696B"/>
    <w:rsid w:val="00032F80"/>
    <w:rsid w:val="00056198"/>
    <w:rsid w:val="00067456"/>
    <w:rsid w:val="000767A1"/>
    <w:rsid w:val="00080CF1"/>
    <w:rsid w:val="00095232"/>
    <w:rsid w:val="000C0973"/>
    <w:rsid w:val="000C7BD5"/>
    <w:rsid w:val="000E3CDD"/>
    <w:rsid w:val="000F6E46"/>
    <w:rsid w:val="000F704B"/>
    <w:rsid w:val="00135C0E"/>
    <w:rsid w:val="001B3443"/>
    <w:rsid w:val="00200606"/>
    <w:rsid w:val="00220CC4"/>
    <w:rsid w:val="00291401"/>
    <w:rsid w:val="002935B0"/>
    <w:rsid w:val="002C2BFC"/>
    <w:rsid w:val="002C4F3E"/>
    <w:rsid w:val="002E4840"/>
    <w:rsid w:val="002F49A1"/>
    <w:rsid w:val="00304ADF"/>
    <w:rsid w:val="0030786C"/>
    <w:rsid w:val="00313943"/>
    <w:rsid w:val="0031420A"/>
    <w:rsid w:val="00316F6F"/>
    <w:rsid w:val="00330B73"/>
    <w:rsid w:val="00361B33"/>
    <w:rsid w:val="003A0F8C"/>
    <w:rsid w:val="003D17F9"/>
    <w:rsid w:val="003D3A1F"/>
    <w:rsid w:val="003D4EC5"/>
    <w:rsid w:val="003D5F92"/>
    <w:rsid w:val="003D633E"/>
    <w:rsid w:val="003F26C8"/>
    <w:rsid w:val="0041771E"/>
    <w:rsid w:val="00424DAD"/>
    <w:rsid w:val="004349F9"/>
    <w:rsid w:val="004637AF"/>
    <w:rsid w:val="00484C1F"/>
    <w:rsid w:val="004867E2"/>
    <w:rsid w:val="004A7A8A"/>
    <w:rsid w:val="004B0826"/>
    <w:rsid w:val="004B21A8"/>
    <w:rsid w:val="00522A08"/>
    <w:rsid w:val="00557233"/>
    <w:rsid w:val="00565414"/>
    <w:rsid w:val="00571CAC"/>
    <w:rsid w:val="0057671C"/>
    <w:rsid w:val="0058320B"/>
    <w:rsid w:val="00590BB0"/>
    <w:rsid w:val="005E6F08"/>
    <w:rsid w:val="00607DF1"/>
    <w:rsid w:val="00646CBC"/>
    <w:rsid w:val="0065713F"/>
    <w:rsid w:val="00665D42"/>
    <w:rsid w:val="00671EC6"/>
    <w:rsid w:val="0069147C"/>
    <w:rsid w:val="006E2DF8"/>
    <w:rsid w:val="00703051"/>
    <w:rsid w:val="00705BE7"/>
    <w:rsid w:val="007179D1"/>
    <w:rsid w:val="00764EBE"/>
    <w:rsid w:val="00770DF5"/>
    <w:rsid w:val="00792542"/>
    <w:rsid w:val="00793165"/>
    <w:rsid w:val="00793764"/>
    <w:rsid w:val="007C4D6B"/>
    <w:rsid w:val="007F6326"/>
    <w:rsid w:val="00802AEE"/>
    <w:rsid w:val="008124D5"/>
    <w:rsid w:val="008201F9"/>
    <w:rsid w:val="008214F1"/>
    <w:rsid w:val="008264EB"/>
    <w:rsid w:val="0086094A"/>
    <w:rsid w:val="00867F5E"/>
    <w:rsid w:val="00870FC6"/>
    <w:rsid w:val="00871C17"/>
    <w:rsid w:val="008B186D"/>
    <w:rsid w:val="008D22B5"/>
    <w:rsid w:val="008D5CEF"/>
    <w:rsid w:val="008E0430"/>
    <w:rsid w:val="008E47D0"/>
    <w:rsid w:val="008E78B3"/>
    <w:rsid w:val="00907C9C"/>
    <w:rsid w:val="00911EF7"/>
    <w:rsid w:val="00914899"/>
    <w:rsid w:val="009331AA"/>
    <w:rsid w:val="00942E04"/>
    <w:rsid w:val="009472E8"/>
    <w:rsid w:val="009C621E"/>
    <w:rsid w:val="00A23CD4"/>
    <w:rsid w:val="00A4512D"/>
    <w:rsid w:val="00A45DF3"/>
    <w:rsid w:val="00A6070D"/>
    <w:rsid w:val="00A705AF"/>
    <w:rsid w:val="00A83B61"/>
    <w:rsid w:val="00AD1CD6"/>
    <w:rsid w:val="00AD265D"/>
    <w:rsid w:val="00AD3382"/>
    <w:rsid w:val="00AF798B"/>
    <w:rsid w:val="00B0368F"/>
    <w:rsid w:val="00B13265"/>
    <w:rsid w:val="00B2448B"/>
    <w:rsid w:val="00B42851"/>
    <w:rsid w:val="00B508EF"/>
    <w:rsid w:val="00B722EF"/>
    <w:rsid w:val="00B737A0"/>
    <w:rsid w:val="00BD1654"/>
    <w:rsid w:val="00BE624C"/>
    <w:rsid w:val="00C15DAF"/>
    <w:rsid w:val="00C71FE7"/>
    <w:rsid w:val="00C84175"/>
    <w:rsid w:val="00CB5B1A"/>
    <w:rsid w:val="00CC0B8A"/>
    <w:rsid w:val="00CC766D"/>
    <w:rsid w:val="00CD2673"/>
    <w:rsid w:val="00CF536F"/>
    <w:rsid w:val="00D05A3F"/>
    <w:rsid w:val="00D14831"/>
    <w:rsid w:val="00D53109"/>
    <w:rsid w:val="00D63FB1"/>
    <w:rsid w:val="00D66381"/>
    <w:rsid w:val="00D70E51"/>
    <w:rsid w:val="00D77A10"/>
    <w:rsid w:val="00D9476D"/>
    <w:rsid w:val="00DF0F5A"/>
    <w:rsid w:val="00DF189B"/>
    <w:rsid w:val="00DF24B1"/>
    <w:rsid w:val="00DF6B0E"/>
    <w:rsid w:val="00E125EF"/>
    <w:rsid w:val="00E15715"/>
    <w:rsid w:val="00E15CC2"/>
    <w:rsid w:val="00E404E4"/>
    <w:rsid w:val="00E539AE"/>
    <w:rsid w:val="00E7002B"/>
    <w:rsid w:val="00EB5A94"/>
    <w:rsid w:val="00EB6A7A"/>
    <w:rsid w:val="00ED4B4D"/>
    <w:rsid w:val="00F42FA1"/>
    <w:rsid w:val="00F66986"/>
    <w:rsid w:val="00F735B2"/>
    <w:rsid w:val="00F85622"/>
    <w:rsid w:val="00F9296B"/>
    <w:rsid w:val="00FB0CE6"/>
    <w:rsid w:val="00FB4582"/>
    <w:rsid w:val="00FC0B64"/>
    <w:rsid w:val="00FC13C0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8D057"/>
  <w15:docId w15:val="{D9FDFF9E-AA97-42D9-8C70-448D02F5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3A0F8C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character" w:styleId="Hyperlink">
    <w:name w:val="Hyperlink"/>
    <w:basedOn w:val="DefaultParagraphFont"/>
    <w:unhideWhenUsed/>
    <w:rsid w:val="000269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937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3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3764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3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3764"/>
    <w:rPr>
      <w:rFonts w:ascii="Tahoma" w:hAnsi="Tahoma"/>
      <w:b/>
      <w:bCs/>
      <w:lang w:eastAsia="en-US"/>
    </w:rPr>
  </w:style>
  <w:style w:type="paragraph" w:styleId="Revision">
    <w:name w:val="Revision"/>
    <w:hidden/>
    <w:uiPriority w:val="99"/>
    <w:semiHidden/>
    <w:rsid w:val="00793764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dataportal.health.gov.a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a Publication from the Health Data Portal</vt:lpstr>
    </vt:vector>
  </TitlesOfParts>
  <Company>Department of Immigration and Border Protection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a Publication from the Health Data Portal</dc:title>
  <dc:creator>Joel Dennerley;Margaret.Krikorian@health.gov.au;Stuart.Dunn@health.gov.au</dc:creator>
  <cp:lastModifiedBy>DUNN, Stuart</cp:lastModifiedBy>
  <cp:revision>35</cp:revision>
  <dcterms:created xsi:type="dcterms:W3CDTF">2018-05-09T05:14:00Z</dcterms:created>
  <dcterms:modified xsi:type="dcterms:W3CDTF">2022-11-14T21:37:00Z</dcterms:modified>
</cp:coreProperties>
</file>