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15CFABD2" w:rsidR="002B5DB3" w:rsidRDefault="002B5DB3" w:rsidP="002B5DB3">
      <w:r>
        <w:rPr>
          <w:noProof/>
        </w:rPr>
        <w:drawing>
          <wp:anchor distT="0" distB="0" distL="114300" distR="114300" simplePos="0" relativeHeight="251658240" behindDoc="0" locked="0" layoutInCell="1" allowOverlap="1" wp14:anchorId="5AFF5780" wp14:editId="5BE0539C">
            <wp:simplePos x="0" y="0"/>
            <wp:positionH relativeFrom="column">
              <wp:posOffset>4045305</wp:posOffset>
            </wp:positionH>
            <wp:positionV relativeFrom="paragraph">
              <wp:posOffset>457</wp:posOffset>
            </wp:positionV>
            <wp:extent cx="1881115" cy="413074"/>
            <wp:effectExtent l="0" t="0" r="0" b="635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1115" cy="413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FA9A0" w14:textId="77777777" w:rsidR="002B5DB3" w:rsidRDefault="002B5DB3" w:rsidP="002B5DB3"/>
    <w:p w14:paraId="14B8BB51" w14:textId="77777777" w:rsidR="002B5DB3" w:rsidRDefault="002B5DB3" w:rsidP="002B5DB3"/>
    <w:p w14:paraId="4FC81871" w14:textId="77777777" w:rsidR="002B5DB3" w:rsidRDefault="002B5DB3" w:rsidP="002B5DB3"/>
    <w:p w14:paraId="381D4A87" w14:textId="61321418" w:rsidR="002B5DB3" w:rsidRPr="00CD5927" w:rsidRDefault="00CD5927" w:rsidP="007A6FEB">
      <w:pPr>
        <w:pStyle w:val="TitlePage1SH"/>
      </w:pPr>
      <w:r>
        <w:t xml:space="preserve">First Nations </w:t>
      </w:r>
      <w:r w:rsidR="00D340C7">
        <w:t>Health Reporting:</w:t>
      </w:r>
    </w:p>
    <w:p w14:paraId="5556B88C" w14:textId="26701EFF" w:rsidR="002B5DB3" w:rsidRPr="00CD0966" w:rsidRDefault="006A52D8" w:rsidP="0054629F">
      <w:pPr>
        <w:pStyle w:val="TitlePage2SH"/>
      </w:pPr>
      <w:r w:rsidRPr="00CD5927">
        <w:t>PI</w:t>
      </w:r>
      <w:r w:rsidR="00CE27E3">
        <w:t>19</w:t>
      </w:r>
      <w:r w:rsidRPr="00CD5927">
        <w:t xml:space="preserve"> </w:t>
      </w:r>
      <w:r w:rsidR="001F77C3" w:rsidRPr="00CD5927">
        <w:t>–</w:t>
      </w:r>
      <w:r w:rsidRPr="00CD5927">
        <w:t xml:space="preserve"> </w:t>
      </w:r>
      <w:r w:rsidR="00CE27E3">
        <w:t>kidney function test result</w:t>
      </w:r>
      <w:r w:rsidR="00CC6B49" w:rsidRPr="00CD5927">
        <w:t xml:space="preserve"> </w:t>
      </w:r>
      <w:r w:rsidR="001038EE">
        <w:t>changes</w:t>
      </w:r>
    </w:p>
    <w:p w14:paraId="7AF2A880" w14:textId="77777777" w:rsidR="002B5DB3" w:rsidRPr="007A6FEB" w:rsidRDefault="002B5DB3" w:rsidP="007A6FEB">
      <w:pPr>
        <w:pStyle w:val="Heading1SH"/>
      </w:pPr>
      <w:r w:rsidRPr="007A6FEB">
        <w:t>Introduction</w:t>
      </w:r>
    </w:p>
    <w:p w14:paraId="16AA6C91" w14:textId="77777777" w:rsidR="00B4769F" w:rsidRDefault="00B4769F" w:rsidP="00B4769F">
      <w:pPr>
        <w:pStyle w:val="BodytextSH"/>
      </w:pPr>
      <w:r>
        <w:t xml:space="preserve">In July 2024, Kidney Health Australia released the </w:t>
      </w:r>
      <w:proofErr w:type="gramStart"/>
      <w:r w:rsidRPr="00B4769F">
        <w:rPr>
          <w:i/>
          <w:iCs/>
        </w:rPr>
        <w:t>Chronic Kidney Disease</w:t>
      </w:r>
      <w:proofErr w:type="gramEnd"/>
      <w:r w:rsidRPr="00B4769F">
        <w:rPr>
          <w:i/>
          <w:iCs/>
        </w:rPr>
        <w:t xml:space="preserve"> (CKD) Management in Primary Care Handbook – 5th Edition</w:t>
      </w:r>
      <w:r>
        <w:t>. The updated guidelines included changes to CKD risk categorisation, including the removal of sex-specific thresholds for urine albumin-creatinine ratio (</w:t>
      </w:r>
      <w:proofErr w:type="spellStart"/>
      <w:r>
        <w:t>uACR</w:t>
      </w:r>
      <w:proofErr w:type="spellEnd"/>
      <w:r>
        <w:t>).</w:t>
      </w:r>
    </w:p>
    <w:p w14:paraId="2313BCF6" w14:textId="2BB5906F" w:rsidR="00B4769F" w:rsidRDefault="00B4769F" w:rsidP="00B4769F">
      <w:pPr>
        <w:pStyle w:val="BodytextSH"/>
      </w:pPr>
      <w:r>
        <w:t xml:space="preserve">The previous PI19 specification used sex-specific </w:t>
      </w:r>
      <w:proofErr w:type="spellStart"/>
      <w:r>
        <w:t>uACR</w:t>
      </w:r>
      <w:proofErr w:type="spellEnd"/>
      <w:r>
        <w:t xml:space="preserve"> cut-offs, which no longer aligned with the revised national guidelines. To address this, updates to PI19</w:t>
      </w:r>
      <w:r w:rsidR="00626CD3">
        <w:t>, the National Key Performance Indicator (</w:t>
      </w:r>
      <w:proofErr w:type="spellStart"/>
      <w:r w:rsidR="00626CD3">
        <w:t>nKPI</w:t>
      </w:r>
      <w:proofErr w:type="spellEnd"/>
      <w:r w:rsidR="00626CD3">
        <w:t>) that measures the CKD risk result</w:t>
      </w:r>
      <w:r w:rsidR="00CF7221">
        <w:t>,</w:t>
      </w:r>
      <w:r>
        <w:t xml:space="preserve"> were approved by the Health Services Data Advisory Group (HS DAG), wh</w:t>
      </w:r>
      <w:r w:rsidR="00F52960">
        <w:t>ich</w:t>
      </w:r>
      <w:r>
        <w:t xml:space="preserve"> govern</w:t>
      </w:r>
      <w:r w:rsidR="00F52960">
        <w:t>s</w:t>
      </w:r>
      <w:r>
        <w:t xml:space="preserve"> the </w:t>
      </w:r>
      <w:proofErr w:type="spellStart"/>
      <w:r>
        <w:t>nKPI</w:t>
      </w:r>
      <w:proofErr w:type="spellEnd"/>
      <w:r>
        <w:t xml:space="preserve"> program.</w:t>
      </w:r>
    </w:p>
    <w:p w14:paraId="01CB48BF" w14:textId="3B4E0205" w:rsidR="002B5DB3" w:rsidRPr="00DB12D3" w:rsidRDefault="00B4769F" w:rsidP="00B4769F">
      <w:pPr>
        <w:pStyle w:val="BodytextSH"/>
      </w:pPr>
      <w:r>
        <w:t>This paper outlines how the changes impact PI19</w:t>
      </w:r>
      <w:r w:rsidR="00805D03">
        <w:t xml:space="preserve"> reporting</w:t>
      </w:r>
      <w:r>
        <w:t>.</w:t>
      </w:r>
    </w:p>
    <w:p w14:paraId="750212FB" w14:textId="082501A9" w:rsidR="00CB2F69" w:rsidRDefault="00CB2F69" w:rsidP="00CB2F69">
      <w:pPr>
        <w:pStyle w:val="Heading1SH"/>
      </w:pPr>
      <w:r>
        <w:t xml:space="preserve">What’s </w:t>
      </w:r>
      <w:r w:rsidR="00F13531">
        <w:t>c</w:t>
      </w:r>
      <w:r>
        <w:t>hang</w:t>
      </w:r>
      <w:r w:rsidR="00DA0CE2">
        <w:t>ed</w:t>
      </w:r>
      <w:r>
        <w:t xml:space="preserve"> and </w:t>
      </w:r>
      <w:r w:rsidR="00F13531">
        <w:t>r</w:t>
      </w:r>
      <w:r>
        <w:t xml:space="preserve">eporting </w:t>
      </w:r>
      <w:r w:rsidR="00F13531">
        <w:t>i</w:t>
      </w:r>
      <w:r>
        <w:t>mplications</w:t>
      </w:r>
    </w:p>
    <w:p w14:paraId="5F4F0F63" w14:textId="6D2B0997" w:rsidR="0069466D" w:rsidRPr="006F17A2" w:rsidRDefault="00947EC4" w:rsidP="00CB2F69">
      <w:pPr>
        <w:pStyle w:val="BodytextSH"/>
      </w:pPr>
      <w:r>
        <w:t>W</w:t>
      </w:r>
      <w:r w:rsidR="005B6FD0" w:rsidRPr="006F17A2">
        <w:t>hat’s chang</w:t>
      </w:r>
      <w:r w:rsidR="00DA0CE2">
        <w:t>ed</w:t>
      </w:r>
      <w:r w:rsidR="005B6FD0" w:rsidRPr="006F17A2">
        <w:t xml:space="preserve">, when, and how </w:t>
      </w:r>
      <w:r>
        <w:t>does this</w:t>
      </w:r>
      <w:r w:rsidR="005B6FD0" w:rsidRPr="006F17A2">
        <w:t xml:space="preserve"> affect </w:t>
      </w:r>
      <w:proofErr w:type="spellStart"/>
      <w:r w:rsidR="00CB2F69">
        <w:t>nKPI</w:t>
      </w:r>
      <w:proofErr w:type="spellEnd"/>
      <w:r w:rsidR="005B6FD0" w:rsidRPr="006F17A2">
        <w:t xml:space="preserve"> reporting</w:t>
      </w:r>
      <w:r w:rsidR="001134DD">
        <w:t>?</w:t>
      </w:r>
    </w:p>
    <w:p w14:paraId="77006BFC" w14:textId="0EBD5783" w:rsidR="0069466D" w:rsidRPr="00BD5B65" w:rsidRDefault="00C021EE" w:rsidP="00FD50EA">
      <w:pPr>
        <w:pStyle w:val="SubheadingSH"/>
      </w:pPr>
      <w:r>
        <w:t xml:space="preserve">Alignment with CKD </w:t>
      </w:r>
      <w:r w:rsidR="005230A2">
        <w:t>guidelines</w:t>
      </w:r>
    </w:p>
    <w:p w14:paraId="34207462" w14:textId="6B0F63A2" w:rsidR="00DE5A4D" w:rsidRDefault="002F44CC" w:rsidP="00FD50EA">
      <w:pPr>
        <w:pStyle w:val="BodytextSH"/>
      </w:pPr>
      <w:r>
        <w:t xml:space="preserve">PI19 has been updated to align with the revised CKD Management in Primary Care guidelines. The most significant change is that sex-specific </w:t>
      </w:r>
      <w:proofErr w:type="spellStart"/>
      <w:r>
        <w:t>uACR</w:t>
      </w:r>
      <w:proofErr w:type="spellEnd"/>
      <w:r>
        <w:t xml:space="preserve"> thresholds have been replaced with a single set of values that apply to all clients</w:t>
      </w:r>
      <w:r w:rsidR="00625755">
        <w:t>.</w:t>
      </w:r>
    </w:p>
    <w:tbl>
      <w:tblPr>
        <w:tblW w:w="9072" w:type="dxa"/>
        <w:tblInd w:w="-8" w:type="dxa"/>
        <w:tblBorders>
          <w:top w:val="single" w:sz="6" w:space="0" w:color="747474" w:themeColor="background2" w:themeShade="80"/>
          <w:left w:val="single" w:sz="6" w:space="0" w:color="747474" w:themeColor="background2" w:themeShade="80"/>
          <w:bottom w:val="single" w:sz="6" w:space="0" w:color="747474" w:themeColor="background2" w:themeShade="80"/>
          <w:right w:val="single" w:sz="6" w:space="0" w:color="747474" w:themeColor="background2" w:themeShade="80"/>
          <w:insideH w:val="single" w:sz="6" w:space="0" w:color="747474" w:themeColor="background2" w:themeShade="80"/>
          <w:insideV w:val="single" w:sz="6" w:space="0" w:color="747474" w:themeColor="background2" w:themeShade="80"/>
        </w:tblBorders>
        <w:tblCellMar>
          <w:left w:w="0" w:type="dxa"/>
          <w:right w:w="0" w:type="dxa"/>
        </w:tblCellMar>
        <w:tblLook w:val="04A0" w:firstRow="1" w:lastRow="0" w:firstColumn="1" w:lastColumn="0" w:noHBand="0" w:noVBand="1"/>
      </w:tblPr>
      <w:tblGrid>
        <w:gridCol w:w="1058"/>
        <w:gridCol w:w="4045"/>
        <w:gridCol w:w="3969"/>
      </w:tblGrid>
      <w:tr w:rsidR="009A69E1" w:rsidRPr="009A355E" w14:paraId="6197ECD6" w14:textId="77777777" w:rsidTr="009A69E1">
        <w:trPr>
          <w:trHeight w:val="300"/>
        </w:trPr>
        <w:tc>
          <w:tcPr>
            <w:tcW w:w="1058" w:type="dxa"/>
            <w:shd w:val="clear" w:color="auto" w:fill="1AA4A0"/>
            <w:hideMark/>
          </w:tcPr>
          <w:p w14:paraId="580C4A74" w14:textId="77777777" w:rsidR="008E545C" w:rsidRPr="009A355E" w:rsidRDefault="008E545C" w:rsidP="009A69E1">
            <w:pPr>
              <w:pStyle w:val="TableheaderrowSH12ptleft"/>
              <w:ind w:firstLine="142"/>
              <w:rPr>
                <w:rFonts w:ascii="Segoe UI" w:hAnsi="Segoe UI"/>
                <w:lang w:eastAsia="en-GB"/>
              </w:rPr>
            </w:pPr>
            <w:r w:rsidRPr="009A355E">
              <w:rPr>
                <w:lang w:eastAsia="en-GB"/>
              </w:rPr>
              <w:t>Risk </w:t>
            </w:r>
          </w:p>
        </w:tc>
        <w:tc>
          <w:tcPr>
            <w:tcW w:w="4045" w:type="dxa"/>
            <w:shd w:val="clear" w:color="auto" w:fill="1AA4A0"/>
            <w:hideMark/>
          </w:tcPr>
          <w:p w14:paraId="6A913A27" w14:textId="77777777" w:rsidR="008E545C" w:rsidRPr="009A355E" w:rsidRDefault="008E545C" w:rsidP="009A69E1">
            <w:pPr>
              <w:pStyle w:val="TableheaderrowSH12ptleft"/>
              <w:ind w:firstLine="142"/>
              <w:rPr>
                <w:rFonts w:ascii="Segoe UI" w:hAnsi="Segoe UI"/>
                <w:lang w:eastAsia="en-GB"/>
              </w:rPr>
            </w:pPr>
            <w:r w:rsidRPr="009A355E">
              <w:rPr>
                <w:lang w:eastAsia="en-GB"/>
              </w:rPr>
              <w:t>Current PI19 (Sex-specific ACR) </w:t>
            </w:r>
          </w:p>
        </w:tc>
        <w:tc>
          <w:tcPr>
            <w:tcW w:w="3969" w:type="dxa"/>
            <w:shd w:val="clear" w:color="auto" w:fill="1AA4A0"/>
            <w:hideMark/>
          </w:tcPr>
          <w:p w14:paraId="6070C73A" w14:textId="77777777" w:rsidR="008E545C" w:rsidRPr="009A355E" w:rsidRDefault="008E545C" w:rsidP="009A69E1">
            <w:pPr>
              <w:pStyle w:val="TableheaderrowSH12ptleft"/>
              <w:ind w:firstLine="142"/>
              <w:rPr>
                <w:rFonts w:ascii="Segoe UI" w:hAnsi="Segoe UI"/>
                <w:lang w:eastAsia="en-GB"/>
              </w:rPr>
            </w:pPr>
            <w:r w:rsidRPr="009A355E">
              <w:rPr>
                <w:lang w:eastAsia="en-GB"/>
              </w:rPr>
              <w:t>Updated PI19 (Unified ACR) </w:t>
            </w:r>
          </w:p>
        </w:tc>
      </w:tr>
      <w:tr w:rsidR="008E545C" w:rsidRPr="009A355E" w14:paraId="4F9E1315" w14:textId="77777777" w:rsidTr="009A69E1">
        <w:trPr>
          <w:trHeight w:val="300"/>
        </w:trPr>
        <w:tc>
          <w:tcPr>
            <w:tcW w:w="1058" w:type="dxa"/>
            <w:hideMark/>
          </w:tcPr>
          <w:p w14:paraId="1C65B5BF" w14:textId="77777777" w:rsidR="008E545C" w:rsidRPr="009A355E" w:rsidRDefault="008E545C" w:rsidP="00835E62">
            <w:pPr>
              <w:pStyle w:val="KPItabletext-SH"/>
              <w:ind w:firstLine="142"/>
              <w:rPr>
                <w:rFonts w:ascii="Segoe UI" w:hAnsi="Segoe UI"/>
              </w:rPr>
            </w:pPr>
            <w:r w:rsidRPr="009A355E">
              <w:t>Normal </w:t>
            </w:r>
          </w:p>
        </w:tc>
        <w:tc>
          <w:tcPr>
            <w:tcW w:w="4045" w:type="dxa"/>
            <w:hideMark/>
          </w:tcPr>
          <w:p w14:paraId="04FA185D" w14:textId="77777777" w:rsidR="008E545C" w:rsidRPr="009A355E" w:rsidRDefault="008E545C" w:rsidP="00835E62">
            <w:pPr>
              <w:pStyle w:val="KPItabletext-SH"/>
              <w:ind w:firstLine="142"/>
              <w:rPr>
                <w:rFonts w:ascii="Segoe UI" w:hAnsi="Segoe UI"/>
              </w:rPr>
            </w:pPr>
            <w:r w:rsidRPr="009A355E">
              <w:t>eGFR ≥60 and ACR &lt;2.5 (M) </w:t>
            </w:r>
          </w:p>
          <w:p w14:paraId="09854F33" w14:textId="77777777" w:rsidR="008E545C" w:rsidRPr="009A355E" w:rsidRDefault="008E545C" w:rsidP="00835E62">
            <w:pPr>
              <w:pStyle w:val="KPItabletext-SH"/>
              <w:ind w:firstLine="142"/>
              <w:rPr>
                <w:rFonts w:ascii="Segoe UI" w:hAnsi="Segoe UI"/>
              </w:rPr>
            </w:pPr>
            <w:r w:rsidRPr="009A355E">
              <w:t>eGFR ≥60 and ACR &lt;3.5 (F) </w:t>
            </w:r>
          </w:p>
        </w:tc>
        <w:tc>
          <w:tcPr>
            <w:tcW w:w="3969" w:type="dxa"/>
            <w:hideMark/>
          </w:tcPr>
          <w:p w14:paraId="5A3C1FD5" w14:textId="77777777" w:rsidR="008E545C" w:rsidRPr="009A355E" w:rsidRDefault="008E545C" w:rsidP="00835E62">
            <w:pPr>
              <w:pStyle w:val="KPItabletext-SH"/>
              <w:ind w:firstLine="142"/>
              <w:rPr>
                <w:rFonts w:ascii="Segoe UI" w:hAnsi="Segoe UI"/>
              </w:rPr>
            </w:pPr>
            <w:r w:rsidRPr="009A355E">
              <w:t>eGFR ≥60 and ACR &lt;3.0 </w:t>
            </w:r>
          </w:p>
        </w:tc>
      </w:tr>
      <w:tr w:rsidR="008E545C" w:rsidRPr="009A355E" w14:paraId="583FDE37" w14:textId="77777777" w:rsidTr="009A69E1">
        <w:trPr>
          <w:trHeight w:val="300"/>
        </w:trPr>
        <w:tc>
          <w:tcPr>
            <w:tcW w:w="1058" w:type="dxa"/>
            <w:hideMark/>
          </w:tcPr>
          <w:p w14:paraId="7E4EEB43" w14:textId="77777777" w:rsidR="008E545C" w:rsidRPr="009A355E" w:rsidRDefault="008E545C" w:rsidP="00835E62">
            <w:pPr>
              <w:pStyle w:val="KPItabletext-SH"/>
              <w:ind w:firstLine="142"/>
              <w:rPr>
                <w:rFonts w:ascii="Segoe UI" w:hAnsi="Segoe UI"/>
              </w:rPr>
            </w:pPr>
            <w:r w:rsidRPr="009A355E">
              <w:t>Low </w:t>
            </w:r>
          </w:p>
        </w:tc>
        <w:tc>
          <w:tcPr>
            <w:tcW w:w="4045" w:type="dxa"/>
            <w:hideMark/>
          </w:tcPr>
          <w:p w14:paraId="34A452FD" w14:textId="77777777" w:rsidR="008E545C" w:rsidRPr="009A355E" w:rsidRDefault="008E545C" w:rsidP="00835E62">
            <w:pPr>
              <w:pStyle w:val="KPItabletext-SH"/>
              <w:ind w:firstLine="142"/>
              <w:rPr>
                <w:rFonts w:ascii="Segoe UI" w:hAnsi="Segoe UI"/>
              </w:rPr>
            </w:pPr>
            <w:r w:rsidRPr="009A355E">
              <w:t>eGFR ≥45–&lt;60 and ACR &lt;2.5 (M) </w:t>
            </w:r>
          </w:p>
          <w:p w14:paraId="1F10923F" w14:textId="77777777" w:rsidR="008E545C" w:rsidRPr="009A355E" w:rsidRDefault="008E545C" w:rsidP="00835E62">
            <w:pPr>
              <w:pStyle w:val="KPItabletext-SH"/>
              <w:ind w:firstLine="142"/>
              <w:rPr>
                <w:rFonts w:ascii="Segoe UI" w:hAnsi="Segoe UI"/>
              </w:rPr>
            </w:pPr>
            <w:r w:rsidRPr="009A355E">
              <w:t>eGFR ≥45–&lt;60 and ACR &lt;3.5 (F) </w:t>
            </w:r>
          </w:p>
          <w:p w14:paraId="59C748A9" w14:textId="77777777" w:rsidR="008E545C" w:rsidRPr="009A355E" w:rsidRDefault="008E545C" w:rsidP="00835E62">
            <w:pPr>
              <w:pStyle w:val="KPItabletext-SH"/>
              <w:ind w:firstLine="142"/>
              <w:rPr>
                <w:rFonts w:ascii="Segoe UI" w:hAnsi="Segoe UI"/>
              </w:rPr>
            </w:pPr>
            <w:r w:rsidRPr="009A355E">
              <w:t>eGFR ≥60 and ACR ≥2.5–25 (M) </w:t>
            </w:r>
          </w:p>
          <w:p w14:paraId="4D3B6A10" w14:textId="77777777" w:rsidR="008E545C" w:rsidRPr="009A355E" w:rsidRDefault="008E545C" w:rsidP="00835E62">
            <w:pPr>
              <w:pStyle w:val="KPItabletext-SH"/>
              <w:ind w:firstLine="142"/>
              <w:rPr>
                <w:rFonts w:ascii="Segoe UI" w:hAnsi="Segoe UI"/>
              </w:rPr>
            </w:pPr>
            <w:r w:rsidRPr="009A355E">
              <w:t>eGFR ≥60 and ACR ≥3.5–35 (F) </w:t>
            </w:r>
          </w:p>
        </w:tc>
        <w:tc>
          <w:tcPr>
            <w:tcW w:w="3969" w:type="dxa"/>
            <w:hideMark/>
          </w:tcPr>
          <w:p w14:paraId="7B60CC83" w14:textId="77777777" w:rsidR="008E545C" w:rsidRPr="009A355E" w:rsidRDefault="008E545C" w:rsidP="00835E62">
            <w:pPr>
              <w:pStyle w:val="KPItabletext-SH"/>
              <w:ind w:firstLine="142"/>
              <w:rPr>
                <w:rFonts w:ascii="Segoe UI" w:hAnsi="Segoe UI"/>
              </w:rPr>
            </w:pPr>
            <w:r w:rsidRPr="009A355E">
              <w:t>eGFR ≥45–&lt;60 and ACR &lt;3.0 </w:t>
            </w:r>
          </w:p>
          <w:p w14:paraId="4B92C296" w14:textId="77777777" w:rsidR="008E545C" w:rsidRPr="009A355E" w:rsidRDefault="008E545C" w:rsidP="00835E62">
            <w:pPr>
              <w:pStyle w:val="KPItabletext-SH"/>
              <w:ind w:firstLine="142"/>
              <w:rPr>
                <w:rFonts w:ascii="Segoe UI" w:hAnsi="Segoe UI"/>
              </w:rPr>
            </w:pPr>
            <w:r w:rsidRPr="009A355E">
              <w:t>eGFR ≥60 and ACR ≥3.0 but ≤30 </w:t>
            </w:r>
          </w:p>
        </w:tc>
      </w:tr>
      <w:tr w:rsidR="008E545C" w:rsidRPr="009A355E" w14:paraId="77BE8D05" w14:textId="77777777" w:rsidTr="009A69E1">
        <w:trPr>
          <w:trHeight w:val="300"/>
        </w:trPr>
        <w:tc>
          <w:tcPr>
            <w:tcW w:w="1058" w:type="dxa"/>
            <w:hideMark/>
          </w:tcPr>
          <w:p w14:paraId="253CC923" w14:textId="77777777" w:rsidR="008E545C" w:rsidRPr="009A355E" w:rsidRDefault="008E545C" w:rsidP="00835E62">
            <w:pPr>
              <w:pStyle w:val="KPItabletext-SH"/>
              <w:ind w:firstLine="142"/>
              <w:rPr>
                <w:rFonts w:ascii="Segoe UI" w:hAnsi="Segoe UI"/>
              </w:rPr>
            </w:pPr>
            <w:r w:rsidRPr="009A355E">
              <w:t>Moderate </w:t>
            </w:r>
          </w:p>
        </w:tc>
        <w:tc>
          <w:tcPr>
            <w:tcW w:w="4045" w:type="dxa"/>
            <w:hideMark/>
          </w:tcPr>
          <w:p w14:paraId="27FCFF6F" w14:textId="77777777" w:rsidR="008E545C" w:rsidRPr="009A355E" w:rsidRDefault="008E545C" w:rsidP="00835E62">
            <w:pPr>
              <w:pStyle w:val="KPItabletext-SH"/>
              <w:ind w:firstLine="142"/>
              <w:rPr>
                <w:rFonts w:ascii="Segoe UI" w:hAnsi="Segoe UI"/>
              </w:rPr>
            </w:pPr>
            <w:r w:rsidRPr="009A355E">
              <w:t>eGFR ≥45–&lt;60 and ACR ≥2.5–25 (M) </w:t>
            </w:r>
          </w:p>
          <w:p w14:paraId="2FE01640" w14:textId="77777777" w:rsidR="008E545C" w:rsidRPr="009A355E" w:rsidRDefault="008E545C" w:rsidP="00835E62">
            <w:pPr>
              <w:pStyle w:val="KPItabletext-SH"/>
              <w:ind w:firstLine="142"/>
              <w:rPr>
                <w:rFonts w:ascii="Segoe UI" w:hAnsi="Segoe UI"/>
              </w:rPr>
            </w:pPr>
            <w:r w:rsidRPr="009A355E">
              <w:t>eGFR ≥45–&lt;60 and ACR ≥3.5–35 (F) </w:t>
            </w:r>
          </w:p>
          <w:p w14:paraId="42C24F52" w14:textId="77777777" w:rsidR="008E545C" w:rsidRPr="009A355E" w:rsidRDefault="008E545C" w:rsidP="00835E62">
            <w:pPr>
              <w:pStyle w:val="KPItabletext-SH"/>
              <w:ind w:firstLine="142"/>
              <w:rPr>
                <w:rFonts w:ascii="Segoe UI" w:hAnsi="Segoe UI"/>
              </w:rPr>
            </w:pPr>
            <w:r w:rsidRPr="009A355E">
              <w:t>eGFR ≥30–&lt;45 and ACR ≤25 (M) </w:t>
            </w:r>
          </w:p>
          <w:p w14:paraId="3369CDDD" w14:textId="77777777" w:rsidR="008E545C" w:rsidRPr="009A355E" w:rsidRDefault="008E545C" w:rsidP="00835E62">
            <w:pPr>
              <w:pStyle w:val="KPItabletext-SH"/>
              <w:ind w:firstLine="142"/>
              <w:rPr>
                <w:rFonts w:ascii="Segoe UI" w:hAnsi="Segoe UI"/>
              </w:rPr>
            </w:pPr>
            <w:r w:rsidRPr="009A355E">
              <w:lastRenderedPageBreak/>
              <w:t>eGFR ≥30–&lt;45 and ACR ≤35 (F) </w:t>
            </w:r>
          </w:p>
        </w:tc>
        <w:tc>
          <w:tcPr>
            <w:tcW w:w="3969" w:type="dxa"/>
            <w:hideMark/>
          </w:tcPr>
          <w:p w14:paraId="7D0B5F4A" w14:textId="77777777" w:rsidR="008E545C" w:rsidRPr="009A355E" w:rsidRDefault="008E545C" w:rsidP="00835E62">
            <w:pPr>
              <w:pStyle w:val="KPItabletext-SH"/>
              <w:ind w:firstLine="142"/>
              <w:rPr>
                <w:rFonts w:ascii="Segoe UI" w:hAnsi="Segoe UI"/>
              </w:rPr>
            </w:pPr>
            <w:r w:rsidRPr="009A355E">
              <w:lastRenderedPageBreak/>
              <w:t>eGFR ≥45–&lt;60 and ACR ≥3.0 but ≤30 </w:t>
            </w:r>
          </w:p>
          <w:p w14:paraId="38538914" w14:textId="77777777" w:rsidR="008E545C" w:rsidRPr="009A355E" w:rsidRDefault="008E545C" w:rsidP="00835E62">
            <w:pPr>
              <w:pStyle w:val="KPItabletext-SH"/>
              <w:ind w:firstLine="142"/>
              <w:rPr>
                <w:rFonts w:ascii="Segoe UI" w:hAnsi="Segoe UI"/>
              </w:rPr>
            </w:pPr>
            <w:r w:rsidRPr="009A355E">
              <w:t>eGFR ≥30–&lt;45 and ACR ≤30 </w:t>
            </w:r>
          </w:p>
        </w:tc>
      </w:tr>
      <w:tr w:rsidR="009A69E1" w:rsidRPr="009A355E" w14:paraId="16B3FDF8" w14:textId="77777777" w:rsidTr="009A69E1">
        <w:trPr>
          <w:trHeight w:val="300"/>
        </w:trPr>
        <w:tc>
          <w:tcPr>
            <w:tcW w:w="1058" w:type="dxa"/>
            <w:hideMark/>
          </w:tcPr>
          <w:p w14:paraId="6434E0F7" w14:textId="77777777" w:rsidR="008E545C" w:rsidRPr="009A355E" w:rsidRDefault="008E545C" w:rsidP="00835E62">
            <w:pPr>
              <w:pStyle w:val="KPItabletext-SH"/>
              <w:ind w:firstLine="142"/>
              <w:rPr>
                <w:rFonts w:ascii="Segoe UI" w:hAnsi="Segoe UI"/>
              </w:rPr>
            </w:pPr>
            <w:r w:rsidRPr="009A355E">
              <w:t>High </w:t>
            </w:r>
          </w:p>
        </w:tc>
        <w:tc>
          <w:tcPr>
            <w:tcW w:w="4045" w:type="dxa"/>
            <w:hideMark/>
          </w:tcPr>
          <w:p w14:paraId="5BA75026" w14:textId="77777777" w:rsidR="008E545C" w:rsidRPr="009A355E" w:rsidRDefault="008E545C" w:rsidP="00835E62">
            <w:pPr>
              <w:pStyle w:val="KPItabletext-SH"/>
              <w:ind w:firstLine="142"/>
              <w:rPr>
                <w:rFonts w:ascii="Segoe UI" w:hAnsi="Segoe UI"/>
              </w:rPr>
            </w:pPr>
            <w:r w:rsidRPr="009A355E">
              <w:t>eGFR ≥30 and ACR &gt;25 (M) </w:t>
            </w:r>
          </w:p>
          <w:p w14:paraId="3CBABBA3" w14:textId="77777777" w:rsidR="008E545C" w:rsidRPr="009A355E" w:rsidRDefault="008E545C" w:rsidP="00835E62">
            <w:pPr>
              <w:pStyle w:val="KPItabletext-SH"/>
              <w:ind w:firstLine="142"/>
              <w:rPr>
                <w:rFonts w:ascii="Segoe UI" w:hAnsi="Segoe UI"/>
              </w:rPr>
            </w:pPr>
            <w:r w:rsidRPr="009A355E">
              <w:t>eGFR ≥30 and ACR &gt;35 (F) </w:t>
            </w:r>
          </w:p>
          <w:p w14:paraId="62BD4364" w14:textId="77777777" w:rsidR="008E545C" w:rsidRPr="009A355E" w:rsidRDefault="008E545C" w:rsidP="00835E62">
            <w:pPr>
              <w:pStyle w:val="KPItabletext-SH"/>
              <w:ind w:firstLine="142"/>
              <w:rPr>
                <w:rFonts w:ascii="Segoe UI" w:hAnsi="Segoe UI"/>
              </w:rPr>
            </w:pPr>
            <w:r w:rsidRPr="009A355E">
              <w:t>eGFR &lt;30 and any ACR result (M and F) </w:t>
            </w:r>
          </w:p>
        </w:tc>
        <w:tc>
          <w:tcPr>
            <w:tcW w:w="3969" w:type="dxa"/>
            <w:hideMark/>
          </w:tcPr>
          <w:p w14:paraId="11CF31BE" w14:textId="77777777" w:rsidR="008E545C" w:rsidRPr="009A355E" w:rsidRDefault="008E545C" w:rsidP="00835E62">
            <w:pPr>
              <w:pStyle w:val="KPItabletext-SH"/>
              <w:ind w:firstLine="142"/>
              <w:rPr>
                <w:rFonts w:ascii="Segoe UI" w:hAnsi="Segoe UI"/>
              </w:rPr>
            </w:pPr>
            <w:r w:rsidRPr="009A355E">
              <w:t>eGFR ≥30 and ACR &gt;30 </w:t>
            </w:r>
          </w:p>
          <w:p w14:paraId="54B3F467" w14:textId="77777777" w:rsidR="008E545C" w:rsidRPr="009A355E" w:rsidRDefault="008E545C" w:rsidP="00835E62">
            <w:pPr>
              <w:pStyle w:val="KPItabletext-SH"/>
              <w:ind w:firstLine="142"/>
              <w:rPr>
                <w:rFonts w:ascii="Segoe UI" w:hAnsi="Segoe UI"/>
              </w:rPr>
            </w:pPr>
            <w:r w:rsidRPr="009A355E">
              <w:t>eGFR &lt;30 and any ACR result </w:t>
            </w:r>
          </w:p>
        </w:tc>
      </w:tr>
    </w:tbl>
    <w:p w14:paraId="58B46FA9" w14:textId="10D2E907" w:rsidR="004C7068" w:rsidRDefault="004C7068" w:rsidP="004C7068">
      <w:pPr>
        <w:pStyle w:val="BodytextSH"/>
      </w:pPr>
      <w:r>
        <w:t xml:space="preserve">The </w:t>
      </w:r>
      <w:r w:rsidR="000A66CE">
        <w:t xml:space="preserve">number of </w:t>
      </w:r>
      <w:r w:rsidR="008272DE">
        <w:t xml:space="preserve">data </w:t>
      </w:r>
      <w:r w:rsidR="00E252F1">
        <w:t>categories</w:t>
      </w:r>
      <w:r w:rsidR="008272DE">
        <w:t xml:space="preserve"> (also known as measure codes) </w:t>
      </w:r>
      <w:r>
        <w:t>for PI19 have not changed and disaggregation by sex continues in reported outputs, even though the thresholds themselves are now uniform.</w:t>
      </w:r>
      <w:r w:rsidR="000A66CE">
        <w:t xml:space="preserve"> </w:t>
      </w:r>
    </w:p>
    <w:p w14:paraId="7851A834" w14:textId="06425A02" w:rsidR="00DE5A4D" w:rsidRPr="00BD5B65" w:rsidRDefault="00625755" w:rsidP="00FD50EA">
      <w:pPr>
        <w:pStyle w:val="SubheadingSH"/>
        <w:rPr>
          <w:lang w:eastAsia="en-AU"/>
        </w:rPr>
      </w:pPr>
      <w:r>
        <w:rPr>
          <w:lang w:eastAsia="en-AU"/>
        </w:rPr>
        <w:t xml:space="preserve">Updating </w:t>
      </w:r>
      <w:r w:rsidR="00DE5A4D" w:rsidRPr="00BD5B65">
        <w:rPr>
          <w:lang w:eastAsia="en-AU"/>
        </w:rPr>
        <w:t xml:space="preserve">CIS </w:t>
      </w:r>
      <w:r w:rsidR="005230A2">
        <w:rPr>
          <w:lang w:eastAsia="en-AU"/>
        </w:rPr>
        <w:t>r</w:t>
      </w:r>
      <w:r w:rsidR="00DE5A4D" w:rsidRPr="00BD5B65">
        <w:rPr>
          <w:lang w:eastAsia="en-AU"/>
        </w:rPr>
        <w:t>eports</w:t>
      </w:r>
    </w:p>
    <w:p w14:paraId="3F72457E" w14:textId="3A83B580" w:rsidR="00E1378F" w:rsidRPr="00E1378F" w:rsidRDefault="00E1378F" w:rsidP="00E1378F">
      <w:pPr>
        <w:pStyle w:val="BodytextSH"/>
        <w:rPr>
          <w:rFonts w:cs="Arial"/>
        </w:rPr>
      </w:pPr>
      <w:r w:rsidRPr="00E1378F">
        <w:rPr>
          <w:rFonts w:cs="Arial"/>
        </w:rPr>
        <w:t xml:space="preserve">The Specifications for </w:t>
      </w:r>
      <w:proofErr w:type="spellStart"/>
      <w:r w:rsidRPr="00E1378F">
        <w:rPr>
          <w:rFonts w:cs="Arial"/>
        </w:rPr>
        <w:t>nKPI</w:t>
      </w:r>
      <w:proofErr w:type="spellEnd"/>
      <w:r w:rsidRPr="00E1378F">
        <w:rPr>
          <w:rFonts w:cs="Arial"/>
        </w:rPr>
        <w:t xml:space="preserve"> and OSR </w:t>
      </w:r>
      <w:r w:rsidR="00446CA6">
        <w:rPr>
          <w:rFonts w:cs="Arial"/>
        </w:rPr>
        <w:t xml:space="preserve">and </w:t>
      </w:r>
      <w:r w:rsidR="00446CA6" w:rsidRPr="00E1378F">
        <w:rPr>
          <w:rFonts w:cs="Arial"/>
        </w:rPr>
        <w:t>the Australian Institute of Health and Welfare’s (AIHW) METEOR specification for PI19</w:t>
      </w:r>
      <w:r w:rsidR="00446CA6">
        <w:rPr>
          <w:rFonts w:cs="Arial"/>
        </w:rPr>
        <w:t xml:space="preserve"> </w:t>
      </w:r>
      <w:r w:rsidRPr="00E1378F">
        <w:rPr>
          <w:rFonts w:cs="Arial"/>
        </w:rPr>
        <w:t xml:space="preserve">have been updated to include the revised </w:t>
      </w:r>
      <w:proofErr w:type="spellStart"/>
      <w:r w:rsidRPr="00E1378F">
        <w:rPr>
          <w:rFonts w:cs="Arial"/>
        </w:rPr>
        <w:t>uACR</w:t>
      </w:r>
      <w:proofErr w:type="spellEnd"/>
      <w:r w:rsidRPr="00E1378F">
        <w:rPr>
          <w:rFonts w:cs="Arial"/>
        </w:rPr>
        <w:t xml:space="preserve"> thresholds. </w:t>
      </w:r>
    </w:p>
    <w:p w14:paraId="1DE0CE7D" w14:textId="0FCC80C5" w:rsidR="00E1378F" w:rsidRDefault="00E1378F" w:rsidP="00E1378F">
      <w:pPr>
        <w:pStyle w:val="BodytextSH"/>
        <w:rPr>
          <w:rFonts w:cs="Arial"/>
        </w:rPr>
      </w:pPr>
      <w:r w:rsidRPr="00E1378F">
        <w:rPr>
          <w:rFonts w:cs="Arial"/>
        </w:rPr>
        <w:t xml:space="preserve">Clinical information system (CIS) vendors – Best Practice, </w:t>
      </w:r>
      <w:proofErr w:type="spellStart"/>
      <w:r w:rsidRPr="00E1378F">
        <w:rPr>
          <w:rFonts w:cs="Arial"/>
        </w:rPr>
        <w:t>Communicare</w:t>
      </w:r>
      <w:proofErr w:type="spellEnd"/>
      <w:r w:rsidRPr="00E1378F">
        <w:rPr>
          <w:rFonts w:cs="Arial"/>
        </w:rPr>
        <w:t xml:space="preserve">, Medical Director and </w:t>
      </w:r>
      <w:proofErr w:type="spellStart"/>
      <w:r w:rsidRPr="00E1378F">
        <w:rPr>
          <w:rFonts w:cs="Arial"/>
        </w:rPr>
        <w:t>MMEx</w:t>
      </w:r>
      <w:proofErr w:type="spellEnd"/>
      <w:r w:rsidRPr="00E1378F">
        <w:rPr>
          <w:rFonts w:cs="Arial"/>
        </w:rPr>
        <w:t xml:space="preserve"> – </w:t>
      </w:r>
      <w:r w:rsidR="00446CA6">
        <w:rPr>
          <w:rFonts w:cs="Arial"/>
        </w:rPr>
        <w:t>have</w:t>
      </w:r>
      <w:r w:rsidRPr="00E1378F">
        <w:rPr>
          <w:rFonts w:cs="Arial"/>
        </w:rPr>
        <w:t xml:space="preserve"> updat</w:t>
      </w:r>
      <w:r w:rsidR="00446CA6">
        <w:rPr>
          <w:rFonts w:cs="Arial"/>
        </w:rPr>
        <w:t>ed</w:t>
      </w:r>
      <w:r w:rsidRPr="00E1378F">
        <w:rPr>
          <w:rFonts w:cs="Arial"/>
        </w:rPr>
        <w:t xml:space="preserve"> the</w:t>
      </w:r>
      <w:r w:rsidR="00E7320C">
        <w:rPr>
          <w:rFonts w:cs="Arial"/>
        </w:rPr>
        <w:t xml:space="preserve"> </w:t>
      </w:r>
      <w:r w:rsidRPr="00E1378F">
        <w:rPr>
          <w:rFonts w:cs="Arial"/>
        </w:rPr>
        <w:t xml:space="preserve">PI19 reporting logic </w:t>
      </w:r>
      <w:r w:rsidR="00E7320C">
        <w:rPr>
          <w:rFonts w:cs="Arial"/>
        </w:rPr>
        <w:t>in their respective reporting tools t</w:t>
      </w:r>
      <w:r w:rsidRPr="00E1378F">
        <w:rPr>
          <w:rFonts w:cs="Arial"/>
        </w:rPr>
        <w:t>o reflect the new thresholds.</w:t>
      </w:r>
    </w:p>
    <w:p w14:paraId="6A6706ED" w14:textId="4014FF05" w:rsidR="003D6F48" w:rsidRDefault="000B625E" w:rsidP="00E1378F">
      <w:pPr>
        <w:pStyle w:val="BodytextSH"/>
      </w:pPr>
      <w:r>
        <w:t xml:space="preserve">Following </w:t>
      </w:r>
      <w:r w:rsidR="003D6F48">
        <w:t xml:space="preserve">this update, the overall number of clients </w:t>
      </w:r>
      <w:r>
        <w:t xml:space="preserve">counted </w:t>
      </w:r>
      <w:r w:rsidR="003D6F48">
        <w:t xml:space="preserve">in each CKD risk category </w:t>
      </w:r>
      <w:r w:rsidR="00600BC0">
        <w:t>is</w:t>
      </w:r>
      <w:r w:rsidR="003D6F48">
        <w:t xml:space="preserve"> not </w:t>
      </w:r>
      <w:r w:rsidR="00600BC0">
        <w:t xml:space="preserve">expected to </w:t>
      </w:r>
      <w:r w:rsidR="003D6F48">
        <w:t>change significantly. However, some clients may shift between categories</w:t>
      </w:r>
      <w:r w:rsidR="00B37FC1">
        <w:t xml:space="preserve"> even when their test results haven’t changed</w:t>
      </w:r>
      <w:r w:rsidR="003D6F48">
        <w:t xml:space="preserve">. For example, some males may be classified into a lower risk group, and some females into a higher one. </w:t>
      </w:r>
    </w:p>
    <w:p w14:paraId="2A2D6ED6" w14:textId="2A013766" w:rsidR="008169E4" w:rsidRPr="00E1378F" w:rsidRDefault="00CC2D09" w:rsidP="00E1378F">
      <w:pPr>
        <w:pStyle w:val="BodytextSH"/>
        <w:rPr>
          <w:rFonts w:cs="Arial"/>
        </w:rPr>
      </w:pPr>
      <w:r>
        <w:t xml:space="preserve">It’s important to note that these updates </w:t>
      </w:r>
      <w:r w:rsidR="00AE3363">
        <w:t>to the reporting tool logic</w:t>
      </w:r>
      <w:r>
        <w:t xml:space="preserve"> do not impact the current quality of pathology data. Existing data quality issues, such as missing results, are being addressed separately through ongoing improvement work</w:t>
      </w:r>
      <w:r w:rsidR="00F541D7">
        <w:t>.</w:t>
      </w:r>
      <w:r w:rsidR="002D3101">
        <w:t xml:space="preserve"> Similarly, any pathology-related limitations previously outlined in </w:t>
      </w:r>
      <w:r w:rsidR="002D3101" w:rsidRPr="00617C33">
        <w:t xml:space="preserve">the </w:t>
      </w:r>
      <w:proofErr w:type="spellStart"/>
      <w:r w:rsidR="002D3101" w:rsidRPr="008D3D80">
        <w:t>nKPI</w:t>
      </w:r>
      <w:proofErr w:type="spellEnd"/>
      <w:r w:rsidR="002D3101" w:rsidRPr="008D3D80">
        <w:t xml:space="preserve"> limitations </w:t>
      </w:r>
      <w:r w:rsidR="00617C33" w:rsidRPr="008D3D80">
        <w:t xml:space="preserve">education </w:t>
      </w:r>
      <w:r w:rsidR="002D3101" w:rsidRPr="008D3D80">
        <w:t>articles</w:t>
      </w:r>
      <w:r w:rsidR="000429C8">
        <w:t xml:space="preserve"> </w:t>
      </w:r>
      <w:r w:rsidR="002D3101" w:rsidRPr="008D3D80">
        <w:t>(</w:t>
      </w:r>
      <w:r w:rsidR="00617C33" w:rsidRPr="008D3D80">
        <w:t xml:space="preserve">see </w:t>
      </w:r>
      <w:r w:rsidR="002D3101" w:rsidRPr="008D3D80">
        <w:t>link</w:t>
      </w:r>
      <w:r w:rsidR="00617C33" w:rsidRPr="008D3D80">
        <w:t xml:space="preserve"> below in resources</w:t>
      </w:r>
      <w:r w:rsidR="002D3101" w:rsidRPr="008D3D80">
        <w:t>)</w:t>
      </w:r>
      <w:r w:rsidR="002D3101">
        <w:t xml:space="preserve"> remain.</w:t>
      </w:r>
    </w:p>
    <w:p w14:paraId="117AAB26" w14:textId="1FBCF611" w:rsidR="004A2B1C" w:rsidRDefault="008D41DB" w:rsidP="00625755">
      <w:pPr>
        <w:pStyle w:val="BodytextSH"/>
        <w:rPr>
          <w:rFonts w:cs="Arial"/>
        </w:rPr>
      </w:pPr>
      <w:r>
        <w:rPr>
          <w:rFonts w:cs="Arial"/>
        </w:rPr>
        <w:t xml:space="preserve">The PI19 changes in the CIS reporting tools </w:t>
      </w:r>
      <w:r w:rsidR="001E7591">
        <w:rPr>
          <w:rFonts w:cs="Arial"/>
        </w:rPr>
        <w:t>have been thoroughly</w:t>
      </w:r>
      <w:r>
        <w:rPr>
          <w:rFonts w:cs="Arial"/>
        </w:rPr>
        <w:t xml:space="preserve"> checked for accuracy.</w:t>
      </w:r>
    </w:p>
    <w:p w14:paraId="6BC9461D" w14:textId="33DFB9EC" w:rsidR="00FD50EA" w:rsidRPr="006F17A2" w:rsidRDefault="00FD50EA" w:rsidP="00FD50EA">
      <w:pPr>
        <w:pStyle w:val="SubheadingSH"/>
      </w:pPr>
      <w:r>
        <w:t xml:space="preserve">Interim </w:t>
      </w:r>
      <w:r w:rsidR="005230A2">
        <w:t>r</w:t>
      </w:r>
      <w:r>
        <w:t>eports</w:t>
      </w:r>
    </w:p>
    <w:p w14:paraId="7A656A6A" w14:textId="46A71EF0" w:rsidR="009E1E8B" w:rsidRDefault="00A47DD3" w:rsidP="00625755">
      <w:pPr>
        <w:pStyle w:val="BodytextSH"/>
      </w:pPr>
      <w:r>
        <w:t>All CIS vendors have now released their updated reporting tools, which include</w:t>
      </w:r>
      <w:r w:rsidR="005F06F9">
        <w:t xml:space="preserve"> the revised </w:t>
      </w:r>
      <w:r w:rsidR="0093136A">
        <w:t>un</w:t>
      </w:r>
      <w:r w:rsidR="007E000E">
        <w:t>ified ACR thresholds for PI19. Health services using these updated tools will see the new thresholds</w:t>
      </w:r>
      <w:r w:rsidR="007D5149">
        <w:t xml:space="preserve"> fully reflected in PI19 counts.</w:t>
      </w:r>
    </w:p>
    <w:p w14:paraId="1F85453B" w14:textId="71527DB9" w:rsidR="007D5149" w:rsidRPr="00625755" w:rsidRDefault="007D5149" w:rsidP="00625755">
      <w:pPr>
        <w:pStyle w:val="BodytextSH"/>
        <w:rPr>
          <w:rFonts w:cs="Arial"/>
        </w:rPr>
      </w:pPr>
      <w:r>
        <w:t>However, any interim or early reports run before the reporting tools were released in December 2025 will still results based on the previous sex-specific thresholds. As a result, those reports may classify</w:t>
      </w:r>
      <w:r w:rsidR="007B1EAA">
        <w:t xml:space="preserve"> client risk differently compared to reports generated with the updated tools.</w:t>
      </w:r>
    </w:p>
    <w:p w14:paraId="01EF91E1" w14:textId="616BB023" w:rsidR="00EE4DDE" w:rsidRPr="006F17A2" w:rsidRDefault="00395FDA" w:rsidP="00625755">
      <w:pPr>
        <w:pStyle w:val="BodytextSH"/>
      </w:pPr>
      <w:r w:rsidRPr="00625755">
        <w:rPr>
          <w:b/>
          <w:bCs/>
        </w:rPr>
        <w:t>TIP:</w:t>
      </w:r>
      <w:r>
        <w:t xml:space="preserve"> </w:t>
      </w:r>
      <w:r w:rsidR="00FA7B4B">
        <w:t xml:space="preserve">To ensure you are using the latest validated reporting tool, check the vendor scorecard </w:t>
      </w:r>
      <w:r w:rsidR="00E2244C">
        <w:t xml:space="preserve">(link in Resources section below) </w:t>
      </w:r>
      <w:r w:rsidR="00FA7B4B">
        <w:t>for the most recent version and confirm that your system is running the same version or higher.</w:t>
      </w:r>
      <w:r w:rsidR="0021748F">
        <w:t xml:space="preserve"> This will ensure all new PI19 thresholds are correctly applied to your reports.</w:t>
      </w:r>
    </w:p>
    <w:p w14:paraId="36110E7C" w14:textId="1E39A30F" w:rsidR="00DE5A4D" w:rsidRPr="006F17A2" w:rsidRDefault="00DE5A4D" w:rsidP="00EE4DDE">
      <w:pPr>
        <w:rPr>
          <w:u w:val="single"/>
          <w:lang w:eastAsia="en-AU"/>
        </w:rPr>
      </w:pPr>
    </w:p>
    <w:p w14:paraId="7BFF9784" w14:textId="499260A5" w:rsidR="00DB7805" w:rsidRPr="006F17A2" w:rsidRDefault="00DB7805" w:rsidP="00AC3372">
      <w:pPr>
        <w:rPr>
          <w:lang w:eastAsia="en-AU"/>
        </w:rPr>
      </w:pPr>
    </w:p>
    <w:p w14:paraId="621B1D1A" w14:textId="56A45599" w:rsidR="002438D7" w:rsidRDefault="002438D7" w:rsidP="002B5DB3"/>
    <w:p w14:paraId="66D7522C" w14:textId="1FD52C57" w:rsidR="003729C7" w:rsidRDefault="003729C7" w:rsidP="002B5DB3"/>
    <w:p w14:paraId="4AD828F9" w14:textId="6DB3811B" w:rsidR="00157404" w:rsidRDefault="00157404" w:rsidP="007A6FEB">
      <w:pPr>
        <w:pStyle w:val="Heading1SH"/>
      </w:pPr>
    </w:p>
    <w:p w14:paraId="75E51F50" w14:textId="37F524BD" w:rsidR="00157404" w:rsidRDefault="00157404" w:rsidP="007A6FEB">
      <w:pPr>
        <w:pStyle w:val="Heading1SH"/>
      </w:pPr>
    </w:p>
    <w:p w14:paraId="7E4A4E2D" w14:textId="24313ADC" w:rsidR="00157404" w:rsidRDefault="001A1555" w:rsidP="007A6FEB">
      <w:pPr>
        <w:pStyle w:val="Heading1SH"/>
      </w:pPr>
      <w:r>
        <w:rPr>
          <w:noProof/>
        </w:rPr>
        <mc:AlternateContent>
          <mc:Choice Requires="wps">
            <w:drawing>
              <wp:anchor distT="0" distB="0" distL="114300" distR="114300" simplePos="0" relativeHeight="251658241" behindDoc="0" locked="0" layoutInCell="1" allowOverlap="1" wp14:anchorId="13D682EB" wp14:editId="23359AC6">
                <wp:simplePos x="0" y="0"/>
                <wp:positionH relativeFrom="margin">
                  <wp:align>right</wp:align>
                </wp:positionH>
                <wp:positionV relativeFrom="paragraph">
                  <wp:posOffset>123825</wp:posOffset>
                </wp:positionV>
                <wp:extent cx="5701085" cy="2121408"/>
                <wp:effectExtent l="0" t="0" r="13970" b="12700"/>
                <wp:wrapNone/>
                <wp:docPr id="1928826361" name="Text Box 1"/>
                <wp:cNvGraphicFramePr/>
                <a:graphic xmlns:a="http://schemas.openxmlformats.org/drawingml/2006/main">
                  <a:graphicData uri="http://schemas.microsoft.com/office/word/2010/wordprocessingShape">
                    <wps:wsp>
                      <wps:cNvSpPr txBox="1"/>
                      <wps:spPr>
                        <a:xfrm>
                          <a:off x="0" y="0"/>
                          <a:ext cx="5701085" cy="2121408"/>
                        </a:xfrm>
                        <a:prstGeom prst="roundRect">
                          <a:avLst/>
                        </a:prstGeom>
                        <a:solidFill>
                          <a:srgbClr val="CCEDEB"/>
                        </a:solidFill>
                        <a:ln w="6350">
                          <a:solidFill>
                            <a:srgbClr val="1AA4A0"/>
                          </a:solidFill>
                        </a:ln>
                        <a:effectLst>
                          <a:softEdge rad="0"/>
                        </a:effectLst>
                      </wps:spPr>
                      <wps:txbx>
                        <w:txbxContent>
                          <w:p w14:paraId="3B0222BC" w14:textId="65AAE601" w:rsidR="002438D7" w:rsidRDefault="002438D7">
                            <w:r>
                              <w:t>Key takeaway(s):</w:t>
                            </w:r>
                          </w:p>
                          <w:p w14:paraId="261739DA" w14:textId="3AE48282" w:rsidR="00EC64D4" w:rsidRPr="00F5426D" w:rsidRDefault="00F0121D" w:rsidP="00EC64D4">
                            <w:pPr>
                              <w:numPr>
                                <w:ilvl w:val="0"/>
                                <w:numId w:val="8"/>
                              </w:numPr>
                              <w:spacing w:before="100" w:beforeAutospacing="1" w:after="100" w:afterAutospacing="1"/>
                              <w:rPr>
                                <w:rFonts w:eastAsia="Times New Roman"/>
                                <w:kern w:val="0"/>
                                <w:lang w:eastAsia="en-AU"/>
                                <w14:ligatures w14:val="none"/>
                              </w:rPr>
                            </w:pPr>
                            <w:r w:rsidRPr="00F0121D">
                              <w:rPr>
                                <w:rFonts w:eastAsia="Times New Roman"/>
                                <w:b/>
                                <w:bCs/>
                                <w:kern w:val="0"/>
                                <w:lang w:eastAsia="en-AU"/>
                                <w14:ligatures w14:val="none"/>
                              </w:rPr>
                              <w:t xml:space="preserve">PI19 now uses a single set of </w:t>
                            </w:r>
                            <w:proofErr w:type="spellStart"/>
                            <w:r w:rsidRPr="00F0121D">
                              <w:rPr>
                                <w:rFonts w:eastAsia="Times New Roman"/>
                                <w:b/>
                                <w:bCs/>
                                <w:kern w:val="0"/>
                                <w:lang w:eastAsia="en-AU"/>
                                <w14:ligatures w14:val="none"/>
                              </w:rPr>
                              <w:t>uACR</w:t>
                            </w:r>
                            <w:proofErr w:type="spellEnd"/>
                            <w:r w:rsidRPr="00F0121D">
                              <w:rPr>
                                <w:rFonts w:eastAsia="Times New Roman"/>
                                <w:b/>
                                <w:bCs/>
                                <w:kern w:val="0"/>
                                <w:lang w:eastAsia="en-AU"/>
                                <w14:ligatures w14:val="none"/>
                              </w:rPr>
                              <w:t xml:space="preserve"> thresholds</w:t>
                            </w:r>
                            <w:r>
                              <w:rPr>
                                <w:rFonts w:eastAsia="Times New Roman"/>
                                <w:b/>
                                <w:bCs/>
                                <w:kern w:val="0"/>
                                <w:lang w:eastAsia="en-AU"/>
                                <w14:ligatures w14:val="none"/>
                              </w:rPr>
                              <w:t xml:space="preserve">: </w:t>
                            </w:r>
                            <w:r w:rsidR="001A6335" w:rsidRPr="001A6335">
                              <w:rPr>
                                <w:rFonts w:eastAsia="Times New Roman"/>
                                <w:kern w:val="0"/>
                                <w:lang w:eastAsia="en-AU"/>
                                <w14:ligatures w14:val="none"/>
                              </w:rPr>
                              <w:t xml:space="preserve">Sex-specific </w:t>
                            </w:r>
                            <w:proofErr w:type="spellStart"/>
                            <w:r w:rsidR="001A6335" w:rsidRPr="001A6335">
                              <w:rPr>
                                <w:rFonts w:eastAsia="Times New Roman"/>
                                <w:kern w:val="0"/>
                                <w:lang w:eastAsia="en-AU"/>
                                <w14:ligatures w14:val="none"/>
                              </w:rPr>
                              <w:t>uACR</w:t>
                            </w:r>
                            <w:proofErr w:type="spellEnd"/>
                            <w:r w:rsidR="001A6335" w:rsidRPr="001A6335">
                              <w:rPr>
                                <w:rFonts w:eastAsia="Times New Roman"/>
                                <w:kern w:val="0"/>
                                <w:lang w:eastAsia="en-AU"/>
                                <w14:ligatures w14:val="none"/>
                              </w:rPr>
                              <w:t xml:space="preserve"> cut-offs have been removed and replaced with unified values, in line with the latest CKD guidelines.</w:t>
                            </w:r>
                          </w:p>
                          <w:p w14:paraId="123DCA5A" w14:textId="7A199EAF" w:rsidR="00157404" w:rsidRDefault="00E52327" w:rsidP="00F5426D">
                            <w:pPr>
                              <w:numPr>
                                <w:ilvl w:val="0"/>
                                <w:numId w:val="8"/>
                              </w:numPr>
                              <w:spacing w:before="100" w:beforeAutospacing="1" w:after="100" w:afterAutospacing="1"/>
                              <w:rPr>
                                <w:rFonts w:eastAsia="Times New Roman"/>
                                <w:kern w:val="0"/>
                                <w:lang w:eastAsia="en-AU"/>
                                <w14:ligatures w14:val="none"/>
                              </w:rPr>
                            </w:pPr>
                            <w:r w:rsidRPr="00E52327">
                              <w:rPr>
                                <w:rFonts w:eastAsia="Times New Roman"/>
                                <w:b/>
                                <w:bCs/>
                                <w:kern w:val="0"/>
                                <w:lang w:eastAsia="en-AU"/>
                                <w14:ligatures w14:val="none"/>
                              </w:rPr>
                              <w:t>Small changes in risk category counts are possible</w:t>
                            </w:r>
                            <w:r w:rsidR="001A6335" w:rsidRPr="001A6335">
                              <w:rPr>
                                <w:rFonts w:eastAsia="Times New Roman"/>
                                <w:b/>
                                <w:bCs/>
                                <w:kern w:val="0"/>
                                <w:lang w:eastAsia="en-AU"/>
                                <w14:ligatures w14:val="none"/>
                              </w:rPr>
                              <w:t>:</w:t>
                            </w:r>
                            <w:r w:rsidR="00157404" w:rsidRPr="00F5426D">
                              <w:rPr>
                                <w:rFonts w:eastAsia="Times New Roman"/>
                                <w:kern w:val="0"/>
                                <w:lang w:eastAsia="en-AU"/>
                                <w14:ligatures w14:val="none"/>
                              </w:rPr>
                              <w:t xml:space="preserve"> </w:t>
                            </w:r>
                            <w:r w:rsidRPr="00E52327">
                              <w:t>Clients near the old sex-specific thresholds may shift categories, potentially altering the number in each risk group</w:t>
                            </w:r>
                            <w:r w:rsidR="002F0D2A" w:rsidRPr="00E52327">
                              <w:t>.</w:t>
                            </w:r>
                          </w:p>
                          <w:p w14:paraId="6788A9D9" w14:textId="3B8182A9" w:rsidR="00157404" w:rsidRPr="00F5426D" w:rsidRDefault="00BF666C" w:rsidP="00F5426D">
                            <w:pPr>
                              <w:numPr>
                                <w:ilvl w:val="0"/>
                                <w:numId w:val="8"/>
                              </w:numPr>
                              <w:spacing w:before="100" w:beforeAutospacing="1" w:after="100" w:afterAutospacing="1"/>
                              <w:rPr>
                                <w:rFonts w:eastAsia="Times New Roman"/>
                                <w:kern w:val="0"/>
                                <w:lang w:eastAsia="en-AU"/>
                                <w14:ligatures w14:val="none"/>
                              </w:rPr>
                            </w:pPr>
                            <w:r w:rsidRPr="00BF666C">
                              <w:rPr>
                                <w:rFonts w:eastAsia="Times New Roman"/>
                                <w:b/>
                                <w:bCs/>
                                <w:kern w:val="0"/>
                                <w:lang w:eastAsia="en-AU"/>
                                <w14:ligatures w14:val="none"/>
                              </w:rPr>
                              <w:t>Updated PI19 logic</w:t>
                            </w:r>
                            <w:r w:rsidR="00157404" w:rsidRPr="00F5426D">
                              <w:rPr>
                                <w:rFonts w:eastAsia="Times New Roman"/>
                                <w:b/>
                                <w:bCs/>
                                <w:kern w:val="0"/>
                                <w:lang w:eastAsia="en-AU"/>
                                <w14:ligatures w14:val="none"/>
                              </w:rPr>
                              <w:t>:</w:t>
                            </w:r>
                            <w:r w:rsidR="00157404" w:rsidRPr="00F5426D">
                              <w:rPr>
                                <w:rFonts w:eastAsia="Times New Roman"/>
                                <w:kern w:val="0"/>
                                <w:lang w:eastAsia="en-AU"/>
                                <w14:ligatures w14:val="none"/>
                              </w:rPr>
                              <w:t xml:space="preserve"> </w:t>
                            </w:r>
                            <w:r w:rsidR="00D222B8" w:rsidRPr="00ED67CA">
                              <w:rPr>
                                <w:rFonts w:eastAsia="Times New Roman"/>
                                <w:lang w:eastAsia="en-AU"/>
                              </w:rPr>
                              <w:t>Reports run before the</w:t>
                            </w:r>
                            <w:r w:rsidR="00D222B8">
                              <w:rPr>
                                <w:rFonts w:eastAsia="Times New Roman"/>
                                <w:lang w:eastAsia="en-AU"/>
                              </w:rPr>
                              <w:t xml:space="preserve"> updated tools were released in December 2025</w:t>
                            </w:r>
                            <w:r w:rsidR="00D222B8" w:rsidRPr="00ED67CA">
                              <w:rPr>
                                <w:rFonts w:eastAsia="Times New Roman"/>
                                <w:lang w:eastAsia="en-AU"/>
                              </w:rPr>
                              <w:t xml:space="preserve"> </w:t>
                            </w:r>
                            <w:r w:rsidR="00D222B8">
                              <w:rPr>
                                <w:rFonts w:eastAsia="Times New Roman"/>
                                <w:lang w:eastAsia="en-AU"/>
                              </w:rPr>
                              <w:t xml:space="preserve">will </w:t>
                            </w:r>
                            <w:r w:rsidR="00E07AA5" w:rsidRPr="00E07AA5">
                              <w:t>still use outdated thresholds</w:t>
                            </w:r>
                            <w:r w:rsidR="00F9106A">
                              <w:t xml:space="preserve"> and may re</w:t>
                            </w:r>
                            <w:r w:rsidR="00F701C2">
                              <w:t>flect different risk categories</w:t>
                            </w:r>
                            <w:r w:rsidR="00E07AA5" w:rsidRPr="00E07AA5">
                              <w:t>.</w:t>
                            </w:r>
                          </w:p>
                          <w:p w14:paraId="3D167FF7" w14:textId="77777777" w:rsidR="00057D49" w:rsidRDefault="00057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682EB" id="Text Box 1" o:spid="_x0000_s1026" style="position:absolute;margin-left:397.7pt;margin-top:9.75pt;width:448.9pt;height:167.0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" fillcolor="#ccedeb" strokecolor="#1aa4a0" strokeweight=".5pt">
                <v:textbox>
                  <w:txbxContent>
                    <w:p w14:paraId="3B0222BC" w14:textId="65AAE601" w:rsidR="002438D7" w:rsidRDefault="002438D7">
                      <w:r>
                        <w:t>Key takeaway(s):</w:t>
                      </w:r>
                    </w:p>
                    <w:p w14:paraId="261739DA" w14:textId="3AE48282" w:rsidR="00EC64D4" w:rsidRPr="00F5426D" w:rsidRDefault="00F0121D" w:rsidP="00EC64D4">
                      <w:pPr>
                        <w:numPr>
                          <w:ilvl w:val="0"/>
                          <w:numId w:val="8"/>
                        </w:numPr>
                        <w:spacing w:before="100" w:beforeAutospacing="1" w:after="100" w:afterAutospacing="1"/>
                        <w:rPr>
                          <w:rFonts w:eastAsia="Times New Roman"/>
                          <w:kern w:val="0"/>
                          <w:lang w:eastAsia="en-AU"/>
                          <w14:ligatures w14:val="none"/>
                        </w:rPr>
                      </w:pPr>
                      <w:r w:rsidRPr="00F0121D">
                        <w:rPr>
                          <w:rFonts w:eastAsia="Times New Roman"/>
                          <w:b/>
                          <w:bCs/>
                          <w:kern w:val="0"/>
                          <w:lang w:eastAsia="en-AU"/>
                          <w14:ligatures w14:val="none"/>
                        </w:rPr>
                        <w:t xml:space="preserve">PI19 now uses a single set of </w:t>
                      </w:r>
                      <w:proofErr w:type="spellStart"/>
                      <w:r w:rsidRPr="00F0121D">
                        <w:rPr>
                          <w:rFonts w:eastAsia="Times New Roman"/>
                          <w:b/>
                          <w:bCs/>
                          <w:kern w:val="0"/>
                          <w:lang w:eastAsia="en-AU"/>
                          <w14:ligatures w14:val="none"/>
                        </w:rPr>
                        <w:t>uACR</w:t>
                      </w:r>
                      <w:proofErr w:type="spellEnd"/>
                      <w:r w:rsidRPr="00F0121D">
                        <w:rPr>
                          <w:rFonts w:eastAsia="Times New Roman"/>
                          <w:b/>
                          <w:bCs/>
                          <w:kern w:val="0"/>
                          <w:lang w:eastAsia="en-AU"/>
                          <w14:ligatures w14:val="none"/>
                        </w:rPr>
                        <w:t xml:space="preserve"> thresholds</w:t>
                      </w:r>
                      <w:r>
                        <w:rPr>
                          <w:rFonts w:eastAsia="Times New Roman"/>
                          <w:b/>
                          <w:bCs/>
                          <w:kern w:val="0"/>
                          <w:lang w:eastAsia="en-AU"/>
                          <w14:ligatures w14:val="none"/>
                        </w:rPr>
                        <w:t xml:space="preserve">: </w:t>
                      </w:r>
                      <w:r w:rsidR="001A6335" w:rsidRPr="001A6335">
                        <w:rPr>
                          <w:rFonts w:eastAsia="Times New Roman"/>
                          <w:kern w:val="0"/>
                          <w:lang w:eastAsia="en-AU"/>
                          <w14:ligatures w14:val="none"/>
                        </w:rPr>
                        <w:t xml:space="preserve">Sex-specific </w:t>
                      </w:r>
                      <w:proofErr w:type="spellStart"/>
                      <w:r w:rsidR="001A6335" w:rsidRPr="001A6335">
                        <w:rPr>
                          <w:rFonts w:eastAsia="Times New Roman"/>
                          <w:kern w:val="0"/>
                          <w:lang w:eastAsia="en-AU"/>
                          <w14:ligatures w14:val="none"/>
                        </w:rPr>
                        <w:t>uACR</w:t>
                      </w:r>
                      <w:proofErr w:type="spellEnd"/>
                      <w:r w:rsidR="001A6335" w:rsidRPr="001A6335">
                        <w:rPr>
                          <w:rFonts w:eastAsia="Times New Roman"/>
                          <w:kern w:val="0"/>
                          <w:lang w:eastAsia="en-AU"/>
                          <w14:ligatures w14:val="none"/>
                        </w:rPr>
                        <w:t xml:space="preserve"> cut-offs have been removed and replaced with unified values, in line with the latest CKD guidelines.</w:t>
                      </w:r>
                    </w:p>
                    <w:p w14:paraId="123DCA5A" w14:textId="7A199EAF" w:rsidR="00157404" w:rsidRDefault="00E52327" w:rsidP="00F5426D">
                      <w:pPr>
                        <w:numPr>
                          <w:ilvl w:val="0"/>
                          <w:numId w:val="8"/>
                        </w:numPr>
                        <w:spacing w:before="100" w:beforeAutospacing="1" w:after="100" w:afterAutospacing="1"/>
                        <w:rPr>
                          <w:rFonts w:eastAsia="Times New Roman"/>
                          <w:kern w:val="0"/>
                          <w:lang w:eastAsia="en-AU"/>
                          <w14:ligatures w14:val="none"/>
                        </w:rPr>
                      </w:pPr>
                      <w:r w:rsidRPr="00E52327">
                        <w:rPr>
                          <w:rFonts w:eastAsia="Times New Roman"/>
                          <w:b/>
                          <w:bCs/>
                          <w:kern w:val="0"/>
                          <w:lang w:eastAsia="en-AU"/>
                          <w14:ligatures w14:val="none"/>
                        </w:rPr>
                        <w:t>Small changes in risk category counts are possible</w:t>
                      </w:r>
                      <w:r w:rsidR="001A6335" w:rsidRPr="001A6335">
                        <w:rPr>
                          <w:rFonts w:eastAsia="Times New Roman"/>
                          <w:b/>
                          <w:bCs/>
                          <w:kern w:val="0"/>
                          <w:lang w:eastAsia="en-AU"/>
                          <w14:ligatures w14:val="none"/>
                        </w:rPr>
                        <w:t>:</w:t>
                      </w:r>
                      <w:r w:rsidR="00157404" w:rsidRPr="00F5426D">
                        <w:rPr>
                          <w:rFonts w:eastAsia="Times New Roman"/>
                          <w:kern w:val="0"/>
                          <w:lang w:eastAsia="en-AU"/>
                          <w14:ligatures w14:val="none"/>
                        </w:rPr>
                        <w:t xml:space="preserve"> </w:t>
                      </w:r>
                      <w:r w:rsidRPr="00E52327">
                        <w:t>Clients near the old sex-specific thresholds may shift categories, potentially altering the number in each risk group</w:t>
                      </w:r>
                      <w:r w:rsidR="002F0D2A" w:rsidRPr="00E52327">
                        <w:t>.</w:t>
                      </w:r>
                    </w:p>
                    <w:p w14:paraId="6788A9D9" w14:textId="3B8182A9" w:rsidR="00157404" w:rsidRPr="00F5426D" w:rsidRDefault="00BF666C" w:rsidP="00F5426D">
                      <w:pPr>
                        <w:numPr>
                          <w:ilvl w:val="0"/>
                          <w:numId w:val="8"/>
                        </w:numPr>
                        <w:spacing w:before="100" w:beforeAutospacing="1" w:after="100" w:afterAutospacing="1"/>
                        <w:rPr>
                          <w:rFonts w:eastAsia="Times New Roman"/>
                          <w:kern w:val="0"/>
                          <w:lang w:eastAsia="en-AU"/>
                          <w14:ligatures w14:val="none"/>
                        </w:rPr>
                      </w:pPr>
                      <w:r w:rsidRPr="00BF666C">
                        <w:rPr>
                          <w:rFonts w:eastAsia="Times New Roman"/>
                          <w:b/>
                          <w:bCs/>
                          <w:kern w:val="0"/>
                          <w:lang w:eastAsia="en-AU"/>
                          <w14:ligatures w14:val="none"/>
                        </w:rPr>
                        <w:t>Updated PI19 logic</w:t>
                      </w:r>
                      <w:r w:rsidR="00157404" w:rsidRPr="00F5426D">
                        <w:rPr>
                          <w:rFonts w:eastAsia="Times New Roman"/>
                          <w:b/>
                          <w:bCs/>
                          <w:kern w:val="0"/>
                          <w:lang w:eastAsia="en-AU"/>
                          <w14:ligatures w14:val="none"/>
                        </w:rPr>
                        <w:t>:</w:t>
                      </w:r>
                      <w:r w:rsidR="00157404" w:rsidRPr="00F5426D">
                        <w:rPr>
                          <w:rFonts w:eastAsia="Times New Roman"/>
                          <w:kern w:val="0"/>
                          <w:lang w:eastAsia="en-AU"/>
                          <w14:ligatures w14:val="none"/>
                        </w:rPr>
                        <w:t xml:space="preserve"> </w:t>
                      </w:r>
                      <w:r w:rsidR="00D222B8" w:rsidRPr="00ED67CA">
                        <w:rPr>
                          <w:rFonts w:eastAsia="Times New Roman"/>
                          <w:lang w:eastAsia="en-AU"/>
                        </w:rPr>
                        <w:t>Reports run before the</w:t>
                      </w:r>
                      <w:r w:rsidR="00D222B8">
                        <w:rPr>
                          <w:rFonts w:eastAsia="Times New Roman"/>
                          <w:lang w:eastAsia="en-AU"/>
                        </w:rPr>
                        <w:t xml:space="preserve"> updated tools were released in December 2025</w:t>
                      </w:r>
                      <w:r w:rsidR="00D222B8" w:rsidRPr="00ED67CA">
                        <w:rPr>
                          <w:rFonts w:eastAsia="Times New Roman"/>
                          <w:lang w:eastAsia="en-AU"/>
                        </w:rPr>
                        <w:t xml:space="preserve"> </w:t>
                      </w:r>
                      <w:r w:rsidR="00D222B8">
                        <w:rPr>
                          <w:rFonts w:eastAsia="Times New Roman"/>
                          <w:lang w:eastAsia="en-AU"/>
                        </w:rPr>
                        <w:t xml:space="preserve">will </w:t>
                      </w:r>
                      <w:r w:rsidR="00E07AA5" w:rsidRPr="00E07AA5">
                        <w:t>still use outdated thresholds</w:t>
                      </w:r>
                      <w:r w:rsidR="00F9106A">
                        <w:t xml:space="preserve"> and may re</w:t>
                      </w:r>
                      <w:r w:rsidR="00F701C2">
                        <w:t>flect different risk categories</w:t>
                      </w:r>
                      <w:r w:rsidR="00E07AA5" w:rsidRPr="00E07AA5">
                        <w:t>.</w:t>
                      </w:r>
                    </w:p>
                    <w:p w14:paraId="3D167FF7" w14:textId="77777777" w:rsidR="00057D49" w:rsidRDefault="00057D49"/>
                  </w:txbxContent>
                </v:textbox>
                <w10:wrap anchorx="margin"/>
              </v:roundrect>
            </w:pict>
          </mc:Fallback>
        </mc:AlternateContent>
      </w:r>
    </w:p>
    <w:p w14:paraId="051185E0" w14:textId="32084730" w:rsidR="00F5426D" w:rsidRDefault="00F5426D" w:rsidP="007A6FEB">
      <w:pPr>
        <w:pStyle w:val="Heading1SH"/>
      </w:pPr>
    </w:p>
    <w:p w14:paraId="58F2F96E" w14:textId="77777777" w:rsidR="00194BFB" w:rsidRDefault="00194BFB">
      <w:pPr>
        <w:rPr>
          <w:b/>
          <w:bCs/>
          <w:color w:val="152775"/>
          <w:sz w:val="36"/>
        </w:rPr>
      </w:pPr>
      <w:r>
        <w:br w:type="page"/>
      </w:r>
    </w:p>
    <w:p w14:paraId="05E7139A" w14:textId="577259FC" w:rsidR="003729C7" w:rsidRDefault="003729C7" w:rsidP="007A6FEB">
      <w:pPr>
        <w:pStyle w:val="Heading1SH"/>
      </w:pPr>
      <w:r>
        <w:lastRenderedPageBreak/>
        <w:t>Resources</w:t>
      </w:r>
    </w:p>
    <w:p w14:paraId="44F4B19F" w14:textId="77777777" w:rsidR="006409A6" w:rsidRPr="006409A6" w:rsidRDefault="006409A6" w:rsidP="006409A6">
      <w:pPr>
        <w:pStyle w:val="BodytextSH"/>
      </w:pPr>
      <w:r>
        <w:rPr>
          <w:rFonts w:cs="Arial"/>
        </w:rPr>
        <w:t>For more detail or explanation, the following resources are also available:  </w:t>
      </w:r>
      <w:r w:rsidRPr="00FD50EA">
        <w:rPr>
          <w:b/>
        </w:rPr>
        <w:t xml:space="preserve"> </w:t>
      </w:r>
    </w:p>
    <w:p w14:paraId="619A7A3E" w14:textId="77777777" w:rsidR="002B62D8" w:rsidRPr="002B62D8" w:rsidRDefault="00817D27" w:rsidP="002B62D8">
      <w:pPr>
        <w:pStyle w:val="BulletSH"/>
        <w:numPr>
          <w:ilvl w:val="0"/>
          <w:numId w:val="3"/>
        </w:numPr>
      </w:pPr>
      <w:r>
        <w:rPr>
          <w:b/>
          <w:bCs w:val="0"/>
          <w:color w:val="000000"/>
          <w:shd w:val="clear" w:color="auto" w:fill="FFFFFF"/>
        </w:rPr>
        <w:t xml:space="preserve">Specifications for </w:t>
      </w:r>
      <w:proofErr w:type="spellStart"/>
      <w:r>
        <w:rPr>
          <w:b/>
          <w:bCs w:val="0"/>
          <w:color w:val="000000"/>
          <w:shd w:val="clear" w:color="auto" w:fill="FFFFFF"/>
        </w:rPr>
        <w:t>nKPI</w:t>
      </w:r>
      <w:proofErr w:type="spellEnd"/>
      <w:r>
        <w:rPr>
          <w:b/>
          <w:bCs w:val="0"/>
          <w:color w:val="000000"/>
          <w:shd w:val="clear" w:color="auto" w:fill="FFFFFF"/>
        </w:rPr>
        <w:t xml:space="preserve"> and OSR:</w:t>
      </w:r>
      <w:r>
        <w:rPr>
          <w:color w:val="000000"/>
          <w:shd w:val="clear" w:color="auto" w:fill="FFFFFF"/>
        </w:rPr>
        <w:t xml:space="preserve"> This document is intended for health services and clinical information system vendors. It provides a detailed overview of foundation data elements (including differences between </w:t>
      </w:r>
      <w:proofErr w:type="spellStart"/>
      <w:r>
        <w:rPr>
          <w:color w:val="000000"/>
          <w:shd w:val="clear" w:color="auto" w:fill="FFFFFF"/>
        </w:rPr>
        <w:t>nKPI</w:t>
      </w:r>
      <w:proofErr w:type="spellEnd"/>
      <w:r>
        <w:rPr>
          <w:color w:val="000000"/>
          <w:shd w:val="clear" w:color="auto" w:fill="FFFFFF"/>
        </w:rPr>
        <w:t xml:space="preserve"> and OSR) and a full explanation of each indicator - covering inclusions, exclusions, counting rules and disaggregation points (including the related data ‘measure codes’ that you may see in your CIS reports). It also highlights variances in vendor implementation for some data. You can access the Specifications here: </w:t>
      </w:r>
      <w:hyperlink r:id="rId11" w:tgtFrame="_blank" w:history="1">
        <w:r>
          <w:rPr>
            <w:color w:val="467886"/>
            <w:u w:val="single"/>
            <w:shd w:val="clear" w:color="auto" w:fill="FFFFFF"/>
          </w:rPr>
          <w:t>https://www.solvinghealth.au/specifications</w:t>
        </w:r>
      </w:hyperlink>
      <w:r>
        <w:rPr>
          <w:color w:val="000000"/>
          <w:shd w:val="clear" w:color="auto" w:fill="FFFFFF"/>
        </w:rPr>
        <w:t xml:space="preserve"> or by following Projects &gt; then Specifications from the home page. Make sure you have the most recent version as the specifications are updated periodically.</w:t>
      </w:r>
      <w:r w:rsidR="002B62D8">
        <w:rPr>
          <w:color w:val="000000"/>
          <w:shd w:val="clear" w:color="auto" w:fill="FFFFFF"/>
        </w:rPr>
        <w:t xml:space="preserve"> </w:t>
      </w:r>
    </w:p>
    <w:p w14:paraId="24C9DC30" w14:textId="135CD0D9" w:rsidR="00817D27" w:rsidRPr="00367DE6" w:rsidRDefault="002B62D8" w:rsidP="00664FA6">
      <w:pPr>
        <w:pStyle w:val="BulletSH"/>
        <w:numPr>
          <w:ilvl w:val="0"/>
          <w:numId w:val="3"/>
        </w:numPr>
      </w:pPr>
      <w:r>
        <w:rPr>
          <w:rStyle w:val="normaltextrun"/>
          <w:b/>
          <w:bCs w:val="0"/>
          <w:color w:val="000000"/>
          <w:shd w:val="clear" w:color="auto" w:fill="FFFFFF"/>
        </w:rPr>
        <w:t>Vendor scorecard:</w:t>
      </w:r>
      <w:r>
        <w:rPr>
          <w:rStyle w:val="normaltextrun"/>
          <w:color w:val="000000"/>
          <w:shd w:val="clear" w:color="auto" w:fill="FFFFFF"/>
        </w:rPr>
        <w:t xml:space="preserve"> The vendor scorecard is a one page visual that compares results for </w:t>
      </w:r>
      <w:proofErr w:type="spellStart"/>
      <w:r>
        <w:rPr>
          <w:rStyle w:val="normaltextrun"/>
          <w:color w:val="000000"/>
          <w:shd w:val="clear" w:color="auto" w:fill="FFFFFF"/>
        </w:rPr>
        <w:t>nKPI</w:t>
      </w:r>
      <w:proofErr w:type="spellEnd"/>
      <w:r>
        <w:rPr>
          <w:rStyle w:val="normaltextrun"/>
          <w:color w:val="000000"/>
          <w:shd w:val="clear" w:color="auto" w:fill="FFFFFF"/>
        </w:rPr>
        <w:t xml:space="preserve"> and OSR across CIS: </w:t>
      </w:r>
      <w:hyperlink r:id="rId12" w:history="1">
        <w:r w:rsidRPr="00F77958">
          <w:rPr>
            <w:rStyle w:val="Hyperlink"/>
            <w:shd w:val="clear" w:color="auto" w:fill="FFFFFF"/>
          </w:rPr>
          <w:t>https://www.solvinghealth.au/scorecard</w:t>
        </w:r>
      </w:hyperlink>
      <w:r w:rsidR="00817D27" w:rsidRPr="00664FA6">
        <w:rPr>
          <w:color w:val="000000"/>
          <w:shd w:val="clear" w:color="auto" w:fill="FFFFFF"/>
        </w:rPr>
        <w:t> </w:t>
      </w:r>
      <w:r w:rsidR="00817D27" w:rsidRPr="00664FA6">
        <w:rPr>
          <w:b/>
          <w:bCs w:val="0"/>
          <w:color w:val="000000"/>
          <w:shd w:val="clear" w:color="auto" w:fill="FFFFFF"/>
        </w:rPr>
        <w:t xml:space="preserve"> </w:t>
      </w:r>
    </w:p>
    <w:p w14:paraId="03CA835E" w14:textId="13145DCD" w:rsidR="00367DE6" w:rsidRPr="00817D27" w:rsidRDefault="00F13DC1" w:rsidP="00FD50EA">
      <w:pPr>
        <w:pStyle w:val="BulletSH"/>
      </w:pPr>
      <w:r>
        <w:rPr>
          <w:b/>
          <w:bCs w:val="0"/>
          <w:color w:val="000000"/>
          <w:shd w:val="clear" w:color="auto" w:fill="FFFFFF"/>
        </w:rPr>
        <w:t>CIS User Guides:</w:t>
      </w:r>
      <w:r>
        <w:rPr>
          <w:color w:val="000000"/>
          <w:shd w:val="clear" w:color="auto" w:fill="FFFFFF"/>
        </w:rPr>
        <w:t xml:space="preserve"> These explain how each vendor reports PI</w:t>
      </w:r>
      <w:r w:rsidR="006A1903">
        <w:rPr>
          <w:color w:val="000000"/>
          <w:shd w:val="clear" w:color="auto" w:fill="FFFFFF"/>
        </w:rPr>
        <w:t>19</w:t>
      </w:r>
      <w:r>
        <w:rPr>
          <w:color w:val="000000"/>
          <w:shd w:val="clear" w:color="auto" w:fill="FFFFFF"/>
        </w:rPr>
        <w:t xml:space="preserve"> and where data need to be recorded to optimise reporting. Refer to the article CIS User Guides for links or visit the link in the Specifications (dot point above) which has links to vendor documents at the end of the web page. </w:t>
      </w:r>
    </w:p>
    <w:p w14:paraId="3B972632" w14:textId="165A011E" w:rsidR="002B5DB3" w:rsidRDefault="00FD50EA" w:rsidP="00FD50EA">
      <w:pPr>
        <w:pStyle w:val="BodytextSH"/>
      </w:pPr>
      <w:r>
        <w:rPr>
          <w:rFonts w:cs="Arial"/>
        </w:rPr>
        <w:t xml:space="preserve">For more data management tips see the other articles in this series available at: </w:t>
      </w:r>
      <w:hyperlink r:id="rId13" w:anchor="ClinicalInformationSystem(CIS)EducationArticles" w:history="1">
        <w:r w:rsidR="00117082" w:rsidRPr="004D6C30">
          <w:rPr>
            <w:rStyle w:val="Hyperlink"/>
            <w:rFonts w:cs="Arial"/>
            <w:color w:val="0A3467"/>
            <w:shd w:val="clear" w:color="auto" w:fill="F9F9F9"/>
          </w:rPr>
          <w:t>Clinical Information System (CIS) Education Articles</w:t>
        </w:r>
      </w:hyperlink>
      <w:r w:rsidR="00117082" w:rsidRPr="00B83990">
        <w:rPr>
          <w:rFonts w:cs="Arial"/>
        </w:rPr>
        <w:t>.</w:t>
      </w:r>
    </w:p>
    <w:p w14:paraId="1B0CA339" w14:textId="19275AB6" w:rsidR="00AF0FD7" w:rsidRDefault="00AF0FD7" w:rsidP="002B5DB3"/>
    <w:sectPr w:rsidR="00AF0FD7" w:rsidSect="0078772F">
      <w:footerReference w:type="default" r:id="rId14"/>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89B1" w14:textId="77777777" w:rsidR="004562A8" w:rsidRDefault="004562A8" w:rsidP="00AD66D6">
      <w:r>
        <w:separator/>
      </w:r>
    </w:p>
  </w:endnote>
  <w:endnote w:type="continuationSeparator" w:id="0">
    <w:p w14:paraId="620C5E3C" w14:textId="77777777" w:rsidR="004562A8" w:rsidRDefault="004562A8" w:rsidP="00A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ody CS)">
    <w:altName w:val="Arial"/>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11BAB5F8" w:rsidR="00AD66D6" w:rsidRPr="00EA77CB" w:rsidRDefault="00AD66D6" w:rsidP="00AD66D6">
    <w:pPr>
      <w:pStyle w:val="FooterSH"/>
      <w:tabs>
        <w:tab w:val="right" w:pos="8931"/>
      </w:tabs>
      <w:ind w:right="-6"/>
    </w:pPr>
    <w:r w:rsidRPr="003A57E8">
      <w:t>Solving Health</w:t>
    </w:r>
    <w:r>
      <w:t xml:space="preserve">                                      </w:t>
    </w:r>
    <w:r w:rsidR="005128A9">
      <w:t xml:space="preserve">PI07 </w:t>
    </w:r>
    <w:r w:rsidR="00FD50EA">
      <w:t>chronic disease management changes</w:t>
    </w:r>
    <w:r w:rsidR="005128A9">
      <w:t xml:space="preserve"> </w:t>
    </w:r>
    <w:r w:rsidR="00FD50EA">
      <w:t xml:space="preserve">- </w:t>
    </w:r>
    <w:r w:rsidR="007D5149">
      <w:t>December</w:t>
    </w:r>
    <w:r w:rsidR="005128A9">
      <w:t xml:space="preserve"> 2025</w:t>
    </w:r>
    <w:r>
      <w:tab/>
    </w:r>
    <w:r>
      <w:fldChar w:fldCharType="begin"/>
    </w:r>
    <w:r>
      <w:instrText xml:space="preserve"> PAGE </w:instrText>
    </w:r>
    <w:r>
      <w:fldChar w:fldCharType="separate"/>
    </w:r>
    <w:r>
      <w:t>1</w:t>
    </w:r>
    <w:r>
      <w:fldChar w:fldCharType="end"/>
    </w:r>
  </w:p>
  <w:p w14:paraId="1A6F4DC5" w14:textId="77777777" w:rsidR="00AD66D6" w:rsidRDefault="00AD66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EFDC" w14:textId="77777777" w:rsidR="004562A8" w:rsidRDefault="004562A8" w:rsidP="00AD66D6">
      <w:r>
        <w:separator/>
      </w:r>
    </w:p>
  </w:footnote>
  <w:footnote w:type="continuationSeparator" w:id="0">
    <w:p w14:paraId="37A132A1" w14:textId="77777777" w:rsidR="004562A8" w:rsidRDefault="004562A8" w:rsidP="00AD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FC194E"/>
    <w:multiLevelType w:val="hybridMultilevel"/>
    <w:tmpl w:val="7FF20D58"/>
    <w:lvl w:ilvl="0" w:tplc="607AAD7E">
      <w:start w:val="1"/>
      <w:numFmt w:val="bullet"/>
      <w:pStyle w:val="Bulletinatable-SH"/>
      <w:lvlText w:val=""/>
      <w:lvlJc w:val="left"/>
      <w:pPr>
        <w:ind w:left="360" w:hanging="360"/>
      </w:pPr>
      <w:rPr>
        <w:rFonts w:ascii="Symbol" w:hAnsi="Symbol" w:hint="default"/>
        <w:color w:val="1AA4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431C59"/>
    <w:multiLevelType w:val="multilevel"/>
    <w:tmpl w:val="798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B44D8C"/>
    <w:multiLevelType w:val="hybridMultilevel"/>
    <w:tmpl w:val="95B6F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66D0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166169726">
    <w:abstractNumId w:val="4"/>
  </w:num>
  <w:num w:numId="2" w16cid:durableId="198860622">
    <w:abstractNumId w:val="1"/>
  </w:num>
  <w:num w:numId="3" w16cid:durableId="409347149">
    <w:abstractNumId w:val="8"/>
  </w:num>
  <w:num w:numId="4" w16cid:durableId="995886109">
    <w:abstractNumId w:val="0"/>
  </w:num>
  <w:num w:numId="5" w16cid:durableId="1125780107">
    <w:abstractNumId w:val="3"/>
  </w:num>
  <w:num w:numId="6" w16cid:durableId="1115296088">
    <w:abstractNumId w:val="0"/>
  </w:num>
  <w:num w:numId="7" w16cid:durableId="659499171">
    <w:abstractNumId w:val="5"/>
  </w:num>
  <w:num w:numId="8" w16cid:durableId="830364263">
    <w:abstractNumId w:val="6"/>
  </w:num>
  <w:num w:numId="9" w16cid:durableId="292909961">
    <w:abstractNumId w:val="7"/>
  </w:num>
  <w:num w:numId="10" w16cid:durableId="1413158380">
    <w:abstractNumId w:val="1"/>
  </w:num>
  <w:num w:numId="11" w16cid:durableId="1089079921">
    <w:abstractNumId w:val="2"/>
  </w:num>
  <w:num w:numId="12" w16cid:durableId="949583294">
    <w:abstractNumId w:val="8"/>
  </w:num>
  <w:num w:numId="13" w16cid:durableId="1218054832">
    <w:abstractNumId w:val="0"/>
  </w:num>
  <w:num w:numId="14" w16cid:durableId="1157377565">
    <w:abstractNumId w:val="3"/>
  </w:num>
  <w:num w:numId="15" w16cid:durableId="1041242935">
    <w:abstractNumId w:val="4"/>
  </w:num>
  <w:num w:numId="16" w16cid:durableId="93205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079F"/>
    <w:rsid w:val="000024F8"/>
    <w:rsid w:val="0004017D"/>
    <w:rsid w:val="000429C8"/>
    <w:rsid w:val="000477CA"/>
    <w:rsid w:val="00057D49"/>
    <w:rsid w:val="000617F9"/>
    <w:rsid w:val="0007072C"/>
    <w:rsid w:val="00073108"/>
    <w:rsid w:val="000816A5"/>
    <w:rsid w:val="00081D19"/>
    <w:rsid w:val="00081D34"/>
    <w:rsid w:val="00081F87"/>
    <w:rsid w:val="00083095"/>
    <w:rsid w:val="00084BEF"/>
    <w:rsid w:val="00084D83"/>
    <w:rsid w:val="00092ED2"/>
    <w:rsid w:val="000A2C57"/>
    <w:rsid w:val="000A66CE"/>
    <w:rsid w:val="000B027F"/>
    <w:rsid w:val="000B625E"/>
    <w:rsid w:val="000C32CF"/>
    <w:rsid w:val="000C3982"/>
    <w:rsid w:val="000C5368"/>
    <w:rsid w:val="000D79B7"/>
    <w:rsid w:val="000E1F4A"/>
    <w:rsid w:val="000F7181"/>
    <w:rsid w:val="00100FA0"/>
    <w:rsid w:val="00102026"/>
    <w:rsid w:val="001038EE"/>
    <w:rsid w:val="00103AAF"/>
    <w:rsid w:val="00104101"/>
    <w:rsid w:val="0011049D"/>
    <w:rsid w:val="001134DD"/>
    <w:rsid w:val="00117082"/>
    <w:rsid w:val="00122420"/>
    <w:rsid w:val="0013154F"/>
    <w:rsid w:val="001354CB"/>
    <w:rsid w:val="00155116"/>
    <w:rsid w:val="0015643C"/>
    <w:rsid w:val="00157404"/>
    <w:rsid w:val="00161EC0"/>
    <w:rsid w:val="0016357F"/>
    <w:rsid w:val="00164384"/>
    <w:rsid w:val="00164ECD"/>
    <w:rsid w:val="00166517"/>
    <w:rsid w:val="001732A3"/>
    <w:rsid w:val="0017739B"/>
    <w:rsid w:val="00182DD7"/>
    <w:rsid w:val="001874DE"/>
    <w:rsid w:val="00191131"/>
    <w:rsid w:val="00192287"/>
    <w:rsid w:val="00194BFB"/>
    <w:rsid w:val="001A1555"/>
    <w:rsid w:val="001A6335"/>
    <w:rsid w:val="001A6460"/>
    <w:rsid w:val="001C11CE"/>
    <w:rsid w:val="001C4DB4"/>
    <w:rsid w:val="001E07C1"/>
    <w:rsid w:val="001E19C1"/>
    <w:rsid w:val="001E7591"/>
    <w:rsid w:val="001F09DB"/>
    <w:rsid w:val="001F0D44"/>
    <w:rsid w:val="001F3C01"/>
    <w:rsid w:val="001F77C3"/>
    <w:rsid w:val="0020477D"/>
    <w:rsid w:val="0021748F"/>
    <w:rsid w:val="0022185D"/>
    <w:rsid w:val="00221BD3"/>
    <w:rsid w:val="00234549"/>
    <w:rsid w:val="00235C02"/>
    <w:rsid w:val="002438D7"/>
    <w:rsid w:val="002535F9"/>
    <w:rsid w:val="002655BB"/>
    <w:rsid w:val="00275D50"/>
    <w:rsid w:val="002840C2"/>
    <w:rsid w:val="002A5605"/>
    <w:rsid w:val="002A7C12"/>
    <w:rsid w:val="002B5DB3"/>
    <w:rsid w:val="002B62D8"/>
    <w:rsid w:val="002C4067"/>
    <w:rsid w:val="002D3101"/>
    <w:rsid w:val="002D716B"/>
    <w:rsid w:val="002E142C"/>
    <w:rsid w:val="002E4737"/>
    <w:rsid w:val="002E4C35"/>
    <w:rsid w:val="002E5257"/>
    <w:rsid w:val="002E5D37"/>
    <w:rsid w:val="002F0D2A"/>
    <w:rsid w:val="002F3810"/>
    <w:rsid w:val="002F44CC"/>
    <w:rsid w:val="003009E9"/>
    <w:rsid w:val="00303066"/>
    <w:rsid w:val="00303ADA"/>
    <w:rsid w:val="00304037"/>
    <w:rsid w:val="003101E8"/>
    <w:rsid w:val="003104D3"/>
    <w:rsid w:val="00320A87"/>
    <w:rsid w:val="00325F90"/>
    <w:rsid w:val="003300D9"/>
    <w:rsid w:val="00330ACB"/>
    <w:rsid w:val="0033252F"/>
    <w:rsid w:val="0033387F"/>
    <w:rsid w:val="00344613"/>
    <w:rsid w:val="00356F69"/>
    <w:rsid w:val="003600AE"/>
    <w:rsid w:val="00360F31"/>
    <w:rsid w:val="00367DE6"/>
    <w:rsid w:val="003729C7"/>
    <w:rsid w:val="00377C66"/>
    <w:rsid w:val="00395FDA"/>
    <w:rsid w:val="003A71BC"/>
    <w:rsid w:val="003C30E4"/>
    <w:rsid w:val="003D6F48"/>
    <w:rsid w:val="003D7638"/>
    <w:rsid w:val="003E1140"/>
    <w:rsid w:val="003E3743"/>
    <w:rsid w:val="003E5BBC"/>
    <w:rsid w:val="003F551F"/>
    <w:rsid w:val="004057D6"/>
    <w:rsid w:val="004064FA"/>
    <w:rsid w:val="004132A4"/>
    <w:rsid w:val="004154DB"/>
    <w:rsid w:val="00423EBB"/>
    <w:rsid w:val="004317C6"/>
    <w:rsid w:val="0043279D"/>
    <w:rsid w:val="00432DCE"/>
    <w:rsid w:val="004378E7"/>
    <w:rsid w:val="00442AE0"/>
    <w:rsid w:val="00443BB2"/>
    <w:rsid w:val="00446CA6"/>
    <w:rsid w:val="004547B4"/>
    <w:rsid w:val="00455BB0"/>
    <w:rsid w:val="004562A8"/>
    <w:rsid w:val="00466A72"/>
    <w:rsid w:val="004746EF"/>
    <w:rsid w:val="0048550F"/>
    <w:rsid w:val="004856CA"/>
    <w:rsid w:val="00485748"/>
    <w:rsid w:val="00486813"/>
    <w:rsid w:val="00486E9B"/>
    <w:rsid w:val="00487DBA"/>
    <w:rsid w:val="00494B07"/>
    <w:rsid w:val="00495FFA"/>
    <w:rsid w:val="004A16DF"/>
    <w:rsid w:val="004A29F6"/>
    <w:rsid w:val="004A2B1C"/>
    <w:rsid w:val="004A5481"/>
    <w:rsid w:val="004B4F29"/>
    <w:rsid w:val="004C42FB"/>
    <w:rsid w:val="004C7068"/>
    <w:rsid w:val="004F0131"/>
    <w:rsid w:val="004F221F"/>
    <w:rsid w:val="00503B01"/>
    <w:rsid w:val="00504AC8"/>
    <w:rsid w:val="00506CCD"/>
    <w:rsid w:val="00507BE2"/>
    <w:rsid w:val="005128A9"/>
    <w:rsid w:val="00514F3C"/>
    <w:rsid w:val="00516C00"/>
    <w:rsid w:val="00521B4E"/>
    <w:rsid w:val="005230A2"/>
    <w:rsid w:val="00527B4C"/>
    <w:rsid w:val="00533552"/>
    <w:rsid w:val="00534BFD"/>
    <w:rsid w:val="0053642C"/>
    <w:rsid w:val="00536CFA"/>
    <w:rsid w:val="00545DF0"/>
    <w:rsid w:val="0054629F"/>
    <w:rsid w:val="005529CB"/>
    <w:rsid w:val="00553D17"/>
    <w:rsid w:val="00572F37"/>
    <w:rsid w:val="0057384A"/>
    <w:rsid w:val="0057543F"/>
    <w:rsid w:val="0057585E"/>
    <w:rsid w:val="00577E17"/>
    <w:rsid w:val="00582202"/>
    <w:rsid w:val="00586D23"/>
    <w:rsid w:val="005926B1"/>
    <w:rsid w:val="005954A8"/>
    <w:rsid w:val="00595BDA"/>
    <w:rsid w:val="0059722A"/>
    <w:rsid w:val="005A684A"/>
    <w:rsid w:val="005B6FD0"/>
    <w:rsid w:val="005B7A92"/>
    <w:rsid w:val="005C3573"/>
    <w:rsid w:val="005C60D4"/>
    <w:rsid w:val="005D78E7"/>
    <w:rsid w:val="005E1996"/>
    <w:rsid w:val="005E5637"/>
    <w:rsid w:val="005F06F9"/>
    <w:rsid w:val="005F5114"/>
    <w:rsid w:val="00600BC0"/>
    <w:rsid w:val="00617C33"/>
    <w:rsid w:val="00624018"/>
    <w:rsid w:val="00624950"/>
    <w:rsid w:val="00625755"/>
    <w:rsid w:val="00626CD3"/>
    <w:rsid w:val="00630C34"/>
    <w:rsid w:val="00631949"/>
    <w:rsid w:val="006409A6"/>
    <w:rsid w:val="00643D0E"/>
    <w:rsid w:val="006527E1"/>
    <w:rsid w:val="00654E8B"/>
    <w:rsid w:val="00664FA6"/>
    <w:rsid w:val="0066645C"/>
    <w:rsid w:val="0067378F"/>
    <w:rsid w:val="00684067"/>
    <w:rsid w:val="0068771E"/>
    <w:rsid w:val="00691EEC"/>
    <w:rsid w:val="0069466D"/>
    <w:rsid w:val="006A1903"/>
    <w:rsid w:val="006A52D8"/>
    <w:rsid w:val="006A6091"/>
    <w:rsid w:val="006B6B7B"/>
    <w:rsid w:val="006C1B58"/>
    <w:rsid w:val="006C2645"/>
    <w:rsid w:val="006C6F6B"/>
    <w:rsid w:val="006D39BC"/>
    <w:rsid w:val="006D4AC6"/>
    <w:rsid w:val="006E1597"/>
    <w:rsid w:val="006E51FC"/>
    <w:rsid w:val="006F17A2"/>
    <w:rsid w:val="00702DCB"/>
    <w:rsid w:val="00704782"/>
    <w:rsid w:val="00720DD8"/>
    <w:rsid w:val="007214BD"/>
    <w:rsid w:val="00721F13"/>
    <w:rsid w:val="007300CC"/>
    <w:rsid w:val="0073080A"/>
    <w:rsid w:val="00735E6A"/>
    <w:rsid w:val="007363B0"/>
    <w:rsid w:val="00736ECF"/>
    <w:rsid w:val="00744E95"/>
    <w:rsid w:val="00754F64"/>
    <w:rsid w:val="007561B9"/>
    <w:rsid w:val="00757996"/>
    <w:rsid w:val="00763AF8"/>
    <w:rsid w:val="00763B39"/>
    <w:rsid w:val="007709A6"/>
    <w:rsid w:val="00776DAE"/>
    <w:rsid w:val="00777123"/>
    <w:rsid w:val="007813BF"/>
    <w:rsid w:val="0078772F"/>
    <w:rsid w:val="00796776"/>
    <w:rsid w:val="0079722F"/>
    <w:rsid w:val="007A0740"/>
    <w:rsid w:val="007A1D41"/>
    <w:rsid w:val="007A6FEB"/>
    <w:rsid w:val="007B1EAA"/>
    <w:rsid w:val="007B5DC4"/>
    <w:rsid w:val="007B60D7"/>
    <w:rsid w:val="007B7F22"/>
    <w:rsid w:val="007D038F"/>
    <w:rsid w:val="007D5149"/>
    <w:rsid w:val="007D7DBD"/>
    <w:rsid w:val="007E000E"/>
    <w:rsid w:val="007E2733"/>
    <w:rsid w:val="007F2ACD"/>
    <w:rsid w:val="00805D03"/>
    <w:rsid w:val="008117DC"/>
    <w:rsid w:val="008169E4"/>
    <w:rsid w:val="00817D27"/>
    <w:rsid w:val="00824209"/>
    <w:rsid w:val="008272DE"/>
    <w:rsid w:val="0082760B"/>
    <w:rsid w:val="00832086"/>
    <w:rsid w:val="00832C2B"/>
    <w:rsid w:val="00835E62"/>
    <w:rsid w:val="00840DA1"/>
    <w:rsid w:val="008614FE"/>
    <w:rsid w:val="00872540"/>
    <w:rsid w:val="00873489"/>
    <w:rsid w:val="00873AD9"/>
    <w:rsid w:val="00885105"/>
    <w:rsid w:val="00886CAB"/>
    <w:rsid w:val="0089180A"/>
    <w:rsid w:val="008A11B4"/>
    <w:rsid w:val="008A1C28"/>
    <w:rsid w:val="008B6292"/>
    <w:rsid w:val="008B690B"/>
    <w:rsid w:val="008D3D80"/>
    <w:rsid w:val="008D41DB"/>
    <w:rsid w:val="008D72F5"/>
    <w:rsid w:val="008E545C"/>
    <w:rsid w:val="008E7983"/>
    <w:rsid w:val="008F169C"/>
    <w:rsid w:val="00904DE3"/>
    <w:rsid w:val="009064CA"/>
    <w:rsid w:val="00924170"/>
    <w:rsid w:val="0092734F"/>
    <w:rsid w:val="0093136A"/>
    <w:rsid w:val="0093352C"/>
    <w:rsid w:val="009372C3"/>
    <w:rsid w:val="00941FA3"/>
    <w:rsid w:val="00946B3A"/>
    <w:rsid w:val="00947EC4"/>
    <w:rsid w:val="009570C3"/>
    <w:rsid w:val="009575AD"/>
    <w:rsid w:val="00961EA3"/>
    <w:rsid w:val="00966A53"/>
    <w:rsid w:val="00972AE0"/>
    <w:rsid w:val="00976126"/>
    <w:rsid w:val="0098410B"/>
    <w:rsid w:val="0098415E"/>
    <w:rsid w:val="0098601F"/>
    <w:rsid w:val="00987EB6"/>
    <w:rsid w:val="00995AB5"/>
    <w:rsid w:val="009A0FFD"/>
    <w:rsid w:val="009A69E1"/>
    <w:rsid w:val="009B2320"/>
    <w:rsid w:val="009B680E"/>
    <w:rsid w:val="009C05A2"/>
    <w:rsid w:val="009C0832"/>
    <w:rsid w:val="009C5516"/>
    <w:rsid w:val="009C5BCE"/>
    <w:rsid w:val="009D2555"/>
    <w:rsid w:val="009E1E8B"/>
    <w:rsid w:val="009E23D3"/>
    <w:rsid w:val="009F0A74"/>
    <w:rsid w:val="00A10F4A"/>
    <w:rsid w:val="00A17295"/>
    <w:rsid w:val="00A239EC"/>
    <w:rsid w:val="00A26001"/>
    <w:rsid w:val="00A26CD0"/>
    <w:rsid w:val="00A26CE2"/>
    <w:rsid w:val="00A44BF2"/>
    <w:rsid w:val="00A44C0D"/>
    <w:rsid w:val="00A47DD3"/>
    <w:rsid w:val="00A77D80"/>
    <w:rsid w:val="00A871F9"/>
    <w:rsid w:val="00A8782C"/>
    <w:rsid w:val="00A912D3"/>
    <w:rsid w:val="00A93A19"/>
    <w:rsid w:val="00A93A57"/>
    <w:rsid w:val="00A97200"/>
    <w:rsid w:val="00AA08B4"/>
    <w:rsid w:val="00AA3320"/>
    <w:rsid w:val="00AA3984"/>
    <w:rsid w:val="00AA661F"/>
    <w:rsid w:val="00AC223E"/>
    <w:rsid w:val="00AC3372"/>
    <w:rsid w:val="00AD2050"/>
    <w:rsid w:val="00AD66D6"/>
    <w:rsid w:val="00AD6D52"/>
    <w:rsid w:val="00AE3363"/>
    <w:rsid w:val="00AF0D5F"/>
    <w:rsid w:val="00AF0FD7"/>
    <w:rsid w:val="00AF149A"/>
    <w:rsid w:val="00AF2352"/>
    <w:rsid w:val="00AF2EAB"/>
    <w:rsid w:val="00B0264C"/>
    <w:rsid w:val="00B07B58"/>
    <w:rsid w:val="00B22E4B"/>
    <w:rsid w:val="00B25435"/>
    <w:rsid w:val="00B25815"/>
    <w:rsid w:val="00B26658"/>
    <w:rsid w:val="00B37FC1"/>
    <w:rsid w:val="00B40688"/>
    <w:rsid w:val="00B44786"/>
    <w:rsid w:val="00B46891"/>
    <w:rsid w:val="00B4769F"/>
    <w:rsid w:val="00B47DFA"/>
    <w:rsid w:val="00B51E51"/>
    <w:rsid w:val="00B52B4E"/>
    <w:rsid w:val="00B67226"/>
    <w:rsid w:val="00B70D92"/>
    <w:rsid w:val="00B71458"/>
    <w:rsid w:val="00B82F44"/>
    <w:rsid w:val="00B83363"/>
    <w:rsid w:val="00B8787E"/>
    <w:rsid w:val="00BB2313"/>
    <w:rsid w:val="00BB3D15"/>
    <w:rsid w:val="00BB5D23"/>
    <w:rsid w:val="00BC5660"/>
    <w:rsid w:val="00BC6714"/>
    <w:rsid w:val="00BD5B65"/>
    <w:rsid w:val="00BD66F8"/>
    <w:rsid w:val="00BD6E6E"/>
    <w:rsid w:val="00BE0446"/>
    <w:rsid w:val="00BE59E0"/>
    <w:rsid w:val="00BF1A19"/>
    <w:rsid w:val="00BF666C"/>
    <w:rsid w:val="00C021EE"/>
    <w:rsid w:val="00C05B9C"/>
    <w:rsid w:val="00C116DB"/>
    <w:rsid w:val="00C14C22"/>
    <w:rsid w:val="00C15AED"/>
    <w:rsid w:val="00C16DF6"/>
    <w:rsid w:val="00C24B6E"/>
    <w:rsid w:val="00C26736"/>
    <w:rsid w:val="00C27D7B"/>
    <w:rsid w:val="00C35037"/>
    <w:rsid w:val="00C35FC7"/>
    <w:rsid w:val="00C50422"/>
    <w:rsid w:val="00C57703"/>
    <w:rsid w:val="00C61197"/>
    <w:rsid w:val="00C70BD2"/>
    <w:rsid w:val="00C802E9"/>
    <w:rsid w:val="00C806B2"/>
    <w:rsid w:val="00C8216E"/>
    <w:rsid w:val="00C83A4C"/>
    <w:rsid w:val="00C87840"/>
    <w:rsid w:val="00C90FA5"/>
    <w:rsid w:val="00C9524B"/>
    <w:rsid w:val="00CA5EFE"/>
    <w:rsid w:val="00CB2F69"/>
    <w:rsid w:val="00CB45C8"/>
    <w:rsid w:val="00CB7BD4"/>
    <w:rsid w:val="00CC2D09"/>
    <w:rsid w:val="00CC6B49"/>
    <w:rsid w:val="00CD5927"/>
    <w:rsid w:val="00CD6E9A"/>
    <w:rsid w:val="00CE0418"/>
    <w:rsid w:val="00CE27E3"/>
    <w:rsid w:val="00CF0288"/>
    <w:rsid w:val="00CF041C"/>
    <w:rsid w:val="00CF5061"/>
    <w:rsid w:val="00CF5192"/>
    <w:rsid w:val="00CF7221"/>
    <w:rsid w:val="00D00A57"/>
    <w:rsid w:val="00D01FAB"/>
    <w:rsid w:val="00D0662B"/>
    <w:rsid w:val="00D15FFE"/>
    <w:rsid w:val="00D16F8F"/>
    <w:rsid w:val="00D222B8"/>
    <w:rsid w:val="00D225A6"/>
    <w:rsid w:val="00D26090"/>
    <w:rsid w:val="00D314CA"/>
    <w:rsid w:val="00D340C7"/>
    <w:rsid w:val="00D41998"/>
    <w:rsid w:val="00D463BA"/>
    <w:rsid w:val="00D54A0B"/>
    <w:rsid w:val="00D653C5"/>
    <w:rsid w:val="00D73864"/>
    <w:rsid w:val="00D7479D"/>
    <w:rsid w:val="00D76676"/>
    <w:rsid w:val="00D7750E"/>
    <w:rsid w:val="00D81709"/>
    <w:rsid w:val="00D829B9"/>
    <w:rsid w:val="00D84A6A"/>
    <w:rsid w:val="00D90AA8"/>
    <w:rsid w:val="00DA06E9"/>
    <w:rsid w:val="00DA0CE2"/>
    <w:rsid w:val="00DA34DD"/>
    <w:rsid w:val="00DA3D26"/>
    <w:rsid w:val="00DB12D3"/>
    <w:rsid w:val="00DB73D1"/>
    <w:rsid w:val="00DB7805"/>
    <w:rsid w:val="00DC04DB"/>
    <w:rsid w:val="00DC38AD"/>
    <w:rsid w:val="00DC44F9"/>
    <w:rsid w:val="00DC4D13"/>
    <w:rsid w:val="00DE4BDE"/>
    <w:rsid w:val="00DE5A4D"/>
    <w:rsid w:val="00DF3B9F"/>
    <w:rsid w:val="00DF473B"/>
    <w:rsid w:val="00DF4939"/>
    <w:rsid w:val="00E032F6"/>
    <w:rsid w:val="00E03978"/>
    <w:rsid w:val="00E05DCE"/>
    <w:rsid w:val="00E07AA5"/>
    <w:rsid w:val="00E1378F"/>
    <w:rsid w:val="00E13CD2"/>
    <w:rsid w:val="00E2244C"/>
    <w:rsid w:val="00E252F1"/>
    <w:rsid w:val="00E263FB"/>
    <w:rsid w:val="00E303E9"/>
    <w:rsid w:val="00E315D1"/>
    <w:rsid w:val="00E33824"/>
    <w:rsid w:val="00E4184E"/>
    <w:rsid w:val="00E43DB2"/>
    <w:rsid w:val="00E52327"/>
    <w:rsid w:val="00E5469F"/>
    <w:rsid w:val="00E623FB"/>
    <w:rsid w:val="00E63CDB"/>
    <w:rsid w:val="00E718E2"/>
    <w:rsid w:val="00E7320C"/>
    <w:rsid w:val="00E81686"/>
    <w:rsid w:val="00E8726B"/>
    <w:rsid w:val="00E945FE"/>
    <w:rsid w:val="00EB3078"/>
    <w:rsid w:val="00EB5441"/>
    <w:rsid w:val="00EB7AA1"/>
    <w:rsid w:val="00EC1AA8"/>
    <w:rsid w:val="00EC1BC2"/>
    <w:rsid w:val="00EC2413"/>
    <w:rsid w:val="00EC3970"/>
    <w:rsid w:val="00EC3A58"/>
    <w:rsid w:val="00EC64D4"/>
    <w:rsid w:val="00ED3D4F"/>
    <w:rsid w:val="00ED4598"/>
    <w:rsid w:val="00ED663C"/>
    <w:rsid w:val="00EE2CA0"/>
    <w:rsid w:val="00EE4DDE"/>
    <w:rsid w:val="00EF06EE"/>
    <w:rsid w:val="00EF5C72"/>
    <w:rsid w:val="00F0121D"/>
    <w:rsid w:val="00F05C0D"/>
    <w:rsid w:val="00F13317"/>
    <w:rsid w:val="00F13531"/>
    <w:rsid w:val="00F13DC1"/>
    <w:rsid w:val="00F145AB"/>
    <w:rsid w:val="00F2104F"/>
    <w:rsid w:val="00F30B8A"/>
    <w:rsid w:val="00F31EE0"/>
    <w:rsid w:val="00F323D3"/>
    <w:rsid w:val="00F3729A"/>
    <w:rsid w:val="00F40891"/>
    <w:rsid w:val="00F43DA2"/>
    <w:rsid w:val="00F51705"/>
    <w:rsid w:val="00F52960"/>
    <w:rsid w:val="00F52C42"/>
    <w:rsid w:val="00F5347D"/>
    <w:rsid w:val="00F541D7"/>
    <w:rsid w:val="00F5426D"/>
    <w:rsid w:val="00F570B8"/>
    <w:rsid w:val="00F701C2"/>
    <w:rsid w:val="00F72039"/>
    <w:rsid w:val="00F722B9"/>
    <w:rsid w:val="00F7797C"/>
    <w:rsid w:val="00F77BBF"/>
    <w:rsid w:val="00F829EB"/>
    <w:rsid w:val="00F863C4"/>
    <w:rsid w:val="00F9106A"/>
    <w:rsid w:val="00F91619"/>
    <w:rsid w:val="00F9278E"/>
    <w:rsid w:val="00F959B7"/>
    <w:rsid w:val="00FA4EE7"/>
    <w:rsid w:val="00FA5629"/>
    <w:rsid w:val="00FA586D"/>
    <w:rsid w:val="00FA7B4B"/>
    <w:rsid w:val="00FB0046"/>
    <w:rsid w:val="00FB03DC"/>
    <w:rsid w:val="00FC3AF5"/>
    <w:rsid w:val="00FC7E38"/>
    <w:rsid w:val="00FD2098"/>
    <w:rsid w:val="00FD2C31"/>
    <w:rsid w:val="00FD4D0E"/>
    <w:rsid w:val="00FD50EA"/>
    <w:rsid w:val="00FD5973"/>
    <w:rsid w:val="00FE186C"/>
    <w:rsid w:val="00FE503E"/>
    <w:rsid w:val="00FE7E5D"/>
    <w:rsid w:val="00FF14E9"/>
    <w:rsid w:val="00FF2E01"/>
    <w:rsid w:val="00FF362B"/>
    <w:rsid w:val="00FF6888"/>
    <w:rsid w:val="23EC5A3A"/>
    <w:rsid w:val="6E058083"/>
    <w:rsid w:val="7E3ED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09E7"/>
  <w15:chartTrackingRefBased/>
  <w15:docId w15:val="{1D0BD6EE-2F40-481E-ACD0-9560BC7A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FB"/>
    <w:rPr>
      <w:rFonts w:ascii="Arial" w:hAnsi="Arial" w:cs="Arial"/>
      <w:color w:val="000000" w:themeColor="text1"/>
      <w:sz w:val="22"/>
      <w:szCs w:val="22"/>
    </w:rPr>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E263FB"/>
    <w:rPr>
      <w:rFonts w:ascii="Arial" w:hAnsi="Arial" w:cs="Arial"/>
      <w:b/>
      <w:bCs/>
      <w:color w:val="000000" w:themeColor="text1"/>
      <w:sz w:val="36"/>
      <w:szCs w:val="22"/>
    </w:rPr>
  </w:style>
  <w:style w:type="paragraph" w:customStyle="1" w:styleId="SubheadingSH">
    <w:name w:val="Sub heading SH"/>
    <w:basedOn w:val="Normal"/>
    <w:autoRedefine/>
    <w:qFormat/>
    <w:rsid w:val="00E263FB"/>
    <w:pPr>
      <w:spacing w:before="240" w:line="259" w:lineRule="auto"/>
      <w:ind w:left="1440" w:hanging="1440"/>
    </w:pPr>
    <w:rPr>
      <w:b/>
      <w:bCs/>
      <w:color w:val="1AA4A0"/>
      <w:sz w:val="28"/>
      <w:szCs w:val="21"/>
    </w:rPr>
  </w:style>
  <w:style w:type="paragraph" w:customStyle="1" w:styleId="AbbreviationtableSH">
    <w:name w:val="Abbreviation table SH"/>
    <w:basedOn w:val="BodytextSH"/>
    <w:qFormat/>
    <w:rsid w:val="00E263FB"/>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E263FB"/>
    <w:rPr>
      <w:kern w:val="0"/>
      <w14:ligatures w14:val="none"/>
    </w:rPr>
  </w:style>
  <w:style w:type="paragraph" w:customStyle="1" w:styleId="DocumentcontroltextSH">
    <w:name w:val="Document control text SH"/>
    <w:basedOn w:val="BodytextSH"/>
    <w:qFormat/>
    <w:rsid w:val="00E263FB"/>
    <w:pPr>
      <w:spacing w:before="60" w:after="60" w:line="240" w:lineRule="auto"/>
    </w:pPr>
    <w:rPr>
      <w:rFonts w:eastAsia="Times New Roman" w:cs="Times New Roman"/>
      <w:kern w:val="0"/>
      <w:sz w:val="18"/>
      <w:u w:color="301159"/>
      <w:lang w:eastAsia="en-AU"/>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E263FB"/>
    <w:pPr>
      <w:spacing w:before="120" w:after="120"/>
    </w:pPr>
    <w:rPr>
      <w:color w:val="152775"/>
      <w:kern w:val="0"/>
      <w:u w:color="301159"/>
      <w:lang w:val="en-GB"/>
      <w14:ligatures w14:val="none"/>
    </w:rPr>
  </w:style>
  <w:style w:type="paragraph" w:customStyle="1" w:styleId="BodytextSH">
    <w:name w:val="Body text SH"/>
    <w:autoRedefine/>
    <w:qFormat/>
    <w:rsid w:val="00E263FB"/>
    <w:pPr>
      <w:spacing w:before="120" w:after="120" w:line="259" w:lineRule="auto"/>
    </w:pPr>
    <w:rPr>
      <w:rFonts w:ascii="Arial" w:hAnsi="Arial" w:cs="Arial (Body CS)"/>
      <w:color w:val="000000" w:themeColor="text1"/>
      <w:sz w:val="22"/>
      <w:szCs w:val="22"/>
    </w:rPr>
  </w:style>
  <w:style w:type="paragraph" w:customStyle="1" w:styleId="TabletextSH">
    <w:name w:val="Table text SH"/>
    <w:autoRedefine/>
    <w:qFormat/>
    <w:rsid w:val="00E263FB"/>
    <w:pPr>
      <w:spacing w:after="160" w:line="259" w:lineRule="auto"/>
    </w:pPr>
    <w:rPr>
      <w:rFonts w:ascii="Arial" w:hAnsi="Arial" w:cs="Arial"/>
      <w:i/>
      <w:color w:val="000000" w:themeColor="text1"/>
      <w:sz w:val="22"/>
      <w:szCs w:val="21"/>
    </w:rPr>
  </w:style>
  <w:style w:type="paragraph" w:customStyle="1" w:styleId="FigureTextSH">
    <w:name w:val="Figure Text SH"/>
    <w:autoRedefine/>
    <w:qFormat/>
    <w:rsid w:val="00E263FB"/>
    <w:pPr>
      <w:spacing w:before="120" w:after="160" w:line="259" w:lineRule="auto"/>
    </w:pPr>
    <w:rPr>
      <w:rFonts w:ascii="Arial" w:hAnsi="Arial" w:cs="Arial"/>
      <w:i/>
      <w:color w:val="000000" w:themeColor="text1"/>
      <w:sz w:val="20"/>
      <w:szCs w:val="21"/>
    </w:rPr>
  </w:style>
  <w:style w:type="paragraph" w:customStyle="1" w:styleId="Bodytext-emhasisSH">
    <w:name w:val="Body text - emhasis SH"/>
    <w:autoRedefine/>
    <w:qFormat/>
    <w:rsid w:val="00E263FB"/>
    <w:pPr>
      <w:spacing w:after="160" w:line="259" w:lineRule="auto"/>
    </w:pPr>
    <w:rPr>
      <w:rFonts w:ascii="Arial" w:hAnsi="Arial" w:cs="Arial (Body CS)"/>
      <w:b/>
      <w:bCs/>
      <w:color w:val="000000" w:themeColor="text1"/>
      <w:sz w:val="22"/>
      <w:szCs w:val="22"/>
    </w:rPr>
  </w:style>
  <w:style w:type="paragraph" w:customStyle="1" w:styleId="Tableheaderrow-small-SH">
    <w:name w:val="Table header row - small - SH"/>
    <w:autoRedefine/>
    <w:qFormat/>
    <w:rsid w:val="00E263FB"/>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E263FB"/>
    <w:pPr>
      <w:spacing w:after="160" w:line="259" w:lineRule="auto"/>
    </w:pPr>
    <w:rPr>
      <w:rFonts w:ascii="Arial" w:eastAsia="Times New Roman" w:hAnsi="Arial" w:cs="Arial"/>
      <w:i/>
      <w:color w:val="000000" w:themeColor="text1"/>
      <w:sz w:val="22"/>
      <w:szCs w:val="22"/>
      <w:lang w:eastAsia="en-AU"/>
    </w:rPr>
  </w:style>
  <w:style w:type="paragraph" w:customStyle="1" w:styleId="Heading1SH">
    <w:name w:val="Heading 1 SH"/>
    <w:autoRedefine/>
    <w:qFormat/>
    <w:rsid w:val="00E263FB"/>
    <w:pPr>
      <w:spacing w:before="240" w:after="180"/>
    </w:pPr>
    <w:rPr>
      <w:rFonts w:ascii="Arial" w:hAnsi="Arial" w:cs="Arial"/>
      <w:b/>
      <w:bCs/>
      <w:color w:val="152775"/>
      <w:sz w:val="36"/>
      <w:szCs w:val="22"/>
    </w:rPr>
  </w:style>
  <w:style w:type="paragraph" w:customStyle="1" w:styleId="Recommendationlevel1SH">
    <w:name w:val="Recommendation level 1 SH"/>
    <w:basedOn w:val="SubheadingSH"/>
    <w:qFormat/>
    <w:rsid w:val="00E263FB"/>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E263FB"/>
    <w:pPr>
      <w:spacing w:after="160" w:line="259" w:lineRule="auto"/>
    </w:pPr>
    <w:rPr>
      <w:rFonts w:ascii="Arial" w:hAnsi="Arial" w:cs="Arial (Body CS)"/>
      <w:b/>
      <w:bCs/>
      <w:color w:val="000000" w:themeColor="text1"/>
      <w:sz w:val="22"/>
      <w:szCs w:val="22"/>
    </w:rPr>
  </w:style>
  <w:style w:type="paragraph" w:customStyle="1" w:styleId="ThirdlevelheadingSH">
    <w:name w:val="Third level heading SH"/>
    <w:basedOn w:val="Normal"/>
    <w:autoRedefine/>
    <w:qFormat/>
    <w:rsid w:val="00E263FB"/>
    <w:pPr>
      <w:spacing w:before="240" w:line="259" w:lineRule="auto"/>
    </w:pPr>
    <w:rPr>
      <w:b/>
      <w:bCs/>
      <w:color w:val="152775"/>
      <w:szCs w:val="20"/>
    </w:rPr>
  </w:style>
  <w:style w:type="paragraph" w:customStyle="1" w:styleId="BodytextwhiteSH">
    <w:name w:val="Body text white SH"/>
    <w:basedOn w:val="Normal"/>
    <w:autoRedefine/>
    <w:qFormat/>
    <w:rsid w:val="00E263FB"/>
    <w:rPr>
      <w:color w:val="FFFFFF" w:themeColor="background1"/>
    </w:rPr>
  </w:style>
  <w:style w:type="paragraph" w:customStyle="1" w:styleId="Whitetextwithtealaccent-SH">
    <w:name w:val="White text with teal accent - SH"/>
    <w:basedOn w:val="BodytextwhiteSH"/>
    <w:autoRedefine/>
    <w:qFormat/>
    <w:rsid w:val="00E263FB"/>
    <w:pPr>
      <w:shd w:val="clear" w:color="auto" w:fill="1AA4A0"/>
    </w:pPr>
  </w:style>
  <w:style w:type="paragraph" w:customStyle="1" w:styleId="Numberedlist-SH">
    <w:name w:val="Numbered list - SH"/>
    <w:basedOn w:val="BodytextSH"/>
    <w:autoRedefine/>
    <w:qFormat/>
    <w:rsid w:val="00E263FB"/>
    <w:pPr>
      <w:numPr>
        <w:numId w:val="15"/>
      </w:numPr>
    </w:pPr>
  </w:style>
  <w:style w:type="paragraph" w:customStyle="1" w:styleId="Bodytextsmall-SH">
    <w:name w:val="Body text small -SH"/>
    <w:basedOn w:val="BodytextSH"/>
    <w:rsid w:val="00E263FB"/>
    <w:pPr>
      <w:numPr>
        <w:numId w:val="10"/>
      </w:numPr>
      <w:spacing w:line="240" w:lineRule="auto"/>
    </w:pPr>
    <w:rPr>
      <w:rFonts w:eastAsia="Times New Roman"/>
      <w:kern w:val="0"/>
      <w:sz w:val="16"/>
      <w:szCs w:val="16"/>
      <w14:ligatures w14:val="none"/>
    </w:rPr>
  </w:style>
  <w:style w:type="paragraph" w:customStyle="1" w:styleId="Bulletinatable-SH">
    <w:name w:val="Bullet in a table - SH"/>
    <w:basedOn w:val="Normal"/>
    <w:qFormat/>
    <w:rsid w:val="00E263FB"/>
    <w:pPr>
      <w:numPr>
        <w:numId w:val="11"/>
      </w:numPr>
      <w:spacing w:before="60" w:after="120"/>
      <w:contextualSpacing/>
    </w:pPr>
    <w:rPr>
      <w:rFonts w:eastAsia="Times New Roman"/>
      <w:bCs/>
      <w:kern w:val="0"/>
      <w:sz w:val="20"/>
      <w:szCs w:val="20"/>
      <w:lang w:val="en-US"/>
      <w14:ligatures w14:val="none"/>
    </w:rPr>
  </w:style>
  <w:style w:type="paragraph" w:customStyle="1" w:styleId="Recommendationlevel2SH">
    <w:name w:val="Recommendation level 2 SH"/>
    <w:basedOn w:val="BodytextSH"/>
    <w:qFormat/>
    <w:rsid w:val="00E263FB"/>
    <w:pPr>
      <w:spacing w:before="60" w:after="60" w:line="240" w:lineRule="auto"/>
    </w:pPr>
    <w:rPr>
      <w:rFonts w:eastAsia="Times New Roman"/>
      <w:kern w:val="0"/>
      <w:sz w:val="20"/>
      <w:u w:color="301159"/>
      <w:lang w:val="en-GB"/>
      <w14:ligatures w14:val="none"/>
    </w:rPr>
  </w:style>
  <w:style w:type="paragraph" w:customStyle="1" w:styleId="BulletSH">
    <w:name w:val="Bullet SH"/>
    <w:rsid w:val="00E263FB"/>
    <w:pPr>
      <w:numPr>
        <w:numId w:val="12"/>
      </w:numPr>
      <w:spacing w:before="120" w:after="120" w:line="259" w:lineRule="auto"/>
      <w:contextualSpacing/>
    </w:pPr>
    <w:rPr>
      <w:rFonts w:ascii="Arial" w:hAnsi="Arial" w:cs="Arial"/>
      <w:bCs/>
      <w:color w:val="000000" w:themeColor="text1"/>
      <w:kern w:val="0"/>
      <w:sz w:val="22"/>
      <w:szCs w:val="22"/>
      <w14:ligatures w14:val="none"/>
    </w:rPr>
  </w:style>
  <w:style w:type="paragraph" w:customStyle="1" w:styleId="RecommendationSH">
    <w:name w:val="Recommendation SH"/>
    <w:basedOn w:val="ThirdlevelheadingSH"/>
    <w:qFormat/>
    <w:rsid w:val="00E263FB"/>
    <w:pPr>
      <w:ind w:left="720"/>
    </w:pPr>
    <w:rPr>
      <w:kern w:val="0"/>
      <w14:ligatures w14:val="none"/>
    </w:rPr>
  </w:style>
  <w:style w:type="paragraph" w:customStyle="1" w:styleId="CopyrighttitleSH">
    <w:name w:val="Copyright title SH"/>
    <w:basedOn w:val="SubheadingSH"/>
    <w:rsid w:val="00E263FB"/>
    <w:pPr>
      <w:spacing w:after="200"/>
    </w:pPr>
    <w:rPr>
      <w:kern w:val="0"/>
      <w:sz w:val="24"/>
      <w:szCs w:val="20"/>
      <w14:ligatures w14:val="none"/>
    </w:rPr>
  </w:style>
  <w:style w:type="paragraph" w:customStyle="1" w:styleId="DocumentcontrolheaderSH">
    <w:name w:val="Document control header SH"/>
    <w:basedOn w:val="Heading1SH"/>
    <w:rsid w:val="00E263FB"/>
    <w:rPr>
      <w:kern w:val="0"/>
      <w14:ligatures w14:val="none"/>
    </w:rPr>
  </w:style>
  <w:style w:type="paragraph" w:customStyle="1" w:styleId="FooterSH">
    <w:name w:val="Footer SH"/>
    <w:rsid w:val="00E263FB"/>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E263FB"/>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E263FB"/>
    <w:rPr>
      <w:u w:color="301159"/>
      <w:lang w:val="en-GB"/>
    </w:rPr>
  </w:style>
  <w:style w:type="character" w:customStyle="1" w:styleId="RecommendationTablebulletChar">
    <w:name w:val="Recommendation Table bullet Char"/>
    <w:basedOn w:val="DefaultParagraphFont"/>
    <w:link w:val="RecommendationTablebullet"/>
    <w:rsid w:val="00E263FB"/>
    <w:rPr>
      <w:rFonts w:ascii="Arial" w:eastAsia="Times New Roman" w:hAnsi="Arial" w:cs="Arial (Body CS)"/>
      <w:color w:val="000000" w:themeColor="text1"/>
      <w:kern w:val="0"/>
      <w:sz w:val="22"/>
      <w:szCs w:val="22"/>
      <w:u w:color="301159"/>
      <w:lang w:val="en-GB" w:eastAsia="en-AU"/>
      <w14:ligatures w14:val="none"/>
    </w:rPr>
  </w:style>
  <w:style w:type="paragraph" w:customStyle="1" w:styleId="Hyperlink-SH">
    <w:name w:val="Hyperlink - SH"/>
    <w:basedOn w:val="BodytextSH"/>
    <w:rsid w:val="00E263FB"/>
    <w:pPr>
      <w:spacing w:line="240" w:lineRule="auto"/>
    </w:pPr>
    <w:rPr>
      <w:rFonts w:eastAsia="Times New Roman"/>
      <w:kern w:val="0"/>
      <w:u w:val="single" w:color="000000" w:themeColor="text1"/>
      <w:lang w:eastAsia="en-AU"/>
      <w14:ligatures w14:val="none"/>
    </w:rPr>
  </w:style>
  <w:style w:type="paragraph" w:customStyle="1" w:styleId="Indicatortableheader-SH">
    <w:name w:val="Indicator table header - SH"/>
    <w:basedOn w:val="Normal"/>
    <w:rsid w:val="00E263FB"/>
    <w:pPr>
      <w:spacing w:before="120" w:after="120" w:line="259" w:lineRule="auto"/>
    </w:pPr>
    <w:rPr>
      <w:b/>
      <w:bCs/>
      <w:kern w:val="0"/>
      <w14:ligatures w14:val="none"/>
    </w:rPr>
  </w:style>
  <w:style w:type="paragraph" w:customStyle="1" w:styleId="Indicatortablelist-SH">
    <w:name w:val="Indicator table list - SH"/>
    <w:basedOn w:val="BodytextSH"/>
    <w:rsid w:val="00E263FB"/>
    <w:pPr>
      <w:numPr>
        <w:numId w:val="16"/>
      </w:numPr>
      <w:spacing w:line="240" w:lineRule="auto"/>
    </w:pPr>
    <w:rPr>
      <w:rFonts w:eastAsia="Times New Roman"/>
      <w:kern w:val="0"/>
      <w:lang w:eastAsia="en-AU"/>
      <w14:ligatures w14:val="none"/>
    </w:rPr>
  </w:style>
  <w:style w:type="paragraph" w:customStyle="1" w:styleId="KPIBulletinTable-SH">
    <w:name w:val="KPI Bullet in Table - SH"/>
    <w:basedOn w:val="Normal"/>
    <w:rsid w:val="00E263FB"/>
    <w:pPr>
      <w:keepLines/>
      <w:numPr>
        <w:numId w:val="14"/>
      </w:numPr>
      <w:contextualSpacing/>
    </w:pPr>
    <w:rPr>
      <w:rFonts w:ascii="Arial Narrow" w:eastAsia="Times New Roman" w:hAnsi="Arial Narrow" w:cs="Times New Roman"/>
      <w:color w:val="000000"/>
      <w:kern w:val="0"/>
      <w:szCs w:val="18"/>
      <w:lang w:eastAsia="en-AU"/>
      <w14:ligatures w14:val="none"/>
    </w:rPr>
  </w:style>
  <w:style w:type="paragraph" w:customStyle="1" w:styleId="KPItabletext-SH">
    <w:name w:val="KPI table text - SH"/>
    <w:basedOn w:val="Normal"/>
    <w:rsid w:val="00E263FB"/>
    <w:pPr>
      <w:tabs>
        <w:tab w:val="left" w:pos="6663"/>
      </w:tabs>
      <w:spacing w:before="120" w:after="120" w:line="259" w:lineRule="auto"/>
    </w:pPr>
    <w:rPr>
      <w:rFonts w:ascii="Arial Narrow" w:eastAsia="Times New Roman" w:hAnsi="Arial Narrow" w:cs="Times New Roman"/>
      <w:kern w:val="0"/>
      <w:lang w:eastAsia="en-AU"/>
      <w14:ligatures w14:val="none"/>
    </w:rPr>
  </w:style>
  <w:style w:type="paragraph" w:customStyle="1" w:styleId="Measurecodetableretired-textsmall-bold-SH">
    <w:name w:val="Measure code table retired - text small - bold -SH"/>
    <w:rsid w:val="00E263FB"/>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E263FB"/>
    <w:rPr>
      <w:kern w:val="0"/>
      <w14:ligatures w14:val="none"/>
    </w:rPr>
  </w:style>
  <w:style w:type="paragraph" w:customStyle="1" w:styleId="NumberedSubHeadingLevel2-SH">
    <w:name w:val="Numbered Sub Heading Level 2 - SH"/>
    <w:basedOn w:val="SubheadingSH"/>
    <w:rsid w:val="00E263FB"/>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E263FB"/>
    <w:pPr>
      <w:spacing w:before="240" w:after="200" w:line="259" w:lineRule="auto"/>
      <w:ind w:left="567" w:hanging="567"/>
    </w:pPr>
    <w:rPr>
      <w:b/>
      <w:bCs/>
      <w:color w:val="929292"/>
      <w:kern w:val="0"/>
      <w:szCs w:val="20"/>
      <w14:ligatures w14:val="none"/>
    </w:rPr>
  </w:style>
  <w:style w:type="paragraph" w:customStyle="1" w:styleId="Retiredindicatortext-SH">
    <w:name w:val="Retired indicator text - SH"/>
    <w:basedOn w:val="BodytextSH"/>
    <w:rsid w:val="00E263FB"/>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E263FB"/>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E263FB"/>
    <w:pPr>
      <w:spacing w:after="200"/>
    </w:pPr>
    <w:rPr>
      <w:kern w:val="0"/>
      <w:sz w:val="24"/>
      <w:szCs w:val="20"/>
      <w14:ligatures w14:val="none"/>
    </w:rPr>
  </w:style>
  <w:style w:type="paragraph" w:customStyle="1" w:styleId="ThirdlevelsubheadingSH">
    <w:name w:val="Third level sub heading SH"/>
    <w:basedOn w:val="SubheadingSH"/>
    <w:qFormat/>
    <w:rsid w:val="00E263FB"/>
    <w:pPr>
      <w:spacing w:after="200"/>
    </w:pPr>
    <w:rPr>
      <w:color w:val="929292"/>
      <w:kern w:val="0"/>
      <w:sz w:val="24"/>
      <w:szCs w:val="20"/>
      <w14:ligatures w14:val="none"/>
    </w:rPr>
  </w:style>
  <w:style w:type="paragraph" w:customStyle="1" w:styleId="TitlePage1SH">
    <w:name w:val="Title Page 1 SH"/>
    <w:basedOn w:val="Heading1SH"/>
    <w:rsid w:val="00E263FB"/>
    <w:rPr>
      <w:kern w:val="0"/>
      <w:sz w:val="56"/>
      <w:szCs w:val="44"/>
      <w14:ligatures w14:val="none"/>
    </w:rPr>
  </w:style>
  <w:style w:type="paragraph" w:customStyle="1" w:styleId="TitlePage2SH">
    <w:name w:val="Title Page 2 SH"/>
    <w:basedOn w:val="TitlePage1SH"/>
    <w:rsid w:val="00E263FB"/>
    <w:rPr>
      <w:color w:val="1AA4A0"/>
    </w:rPr>
  </w:style>
  <w:style w:type="paragraph" w:styleId="TOC1">
    <w:name w:val="toc 1"/>
    <w:aliases w:val="TOC 1 SH"/>
    <w:next w:val="Normal"/>
    <w:uiPriority w:val="39"/>
    <w:qFormat/>
    <w:rsid w:val="00E263FB"/>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E263FB"/>
    <w:pPr>
      <w:tabs>
        <w:tab w:val="left" w:pos="284"/>
        <w:tab w:val="right" w:pos="9055"/>
      </w:tabs>
      <w:spacing w:before="240" w:after="120"/>
      <w:ind w:left="238"/>
    </w:pPr>
    <w:rPr>
      <w:rFonts w:cstheme="minorHAnsi"/>
      <w:iCs/>
      <w:kern w:val="0"/>
      <w:szCs w:val="20"/>
      <w14:ligatures w14:val="none"/>
    </w:rPr>
  </w:style>
  <w:style w:type="paragraph" w:styleId="TOC3">
    <w:name w:val="toc 3"/>
    <w:aliases w:val="TOC 3 SH"/>
    <w:basedOn w:val="TOC2"/>
    <w:next w:val="Normal"/>
    <w:uiPriority w:val="39"/>
    <w:qFormat/>
    <w:rsid w:val="00E263FB"/>
    <w:pPr>
      <w:tabs>
        <w:tab w:val="left" w:pos="567"/>
      </w:tabs>
      <w:ind w:left="567"/>
    </w:pPr>
    <w:rPr>
      <w:i/>
      <w:iCs w:val="0"/>
    </w:rPr>
  </w:style>
  <w:style w:type="paragraph" w:customStyle="1" w:styleId="Tableheaderrowverysmall">
    <w:name w:val="Table header row very small"/>
    <w:basedOn w:val="Tableheaderrow-small-SH"/>
    <w:qFormat/>
    <w:rsid w:val="00E263FB"/>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E263FB"/>
    <w:pPr>
      <w:jc w:val="left"/>
    </w:pPr>
  </w:style>
  <w:style w:type="paragraph" w:customStyle="1" w:styleId="TabletextsmallboldSH">
    <w:name w:val="Table text small bold SH"/>
    <w:basedOn w:val="Normal"/>
    <w:qFormat/>
    <w:rsid w:val="00E263FB"/>
    <w:pPr>
      <w:spacing w:before="60" w:after="60"/>
      <w:jc w:val="center"/>
    </w:pPr>
    <w:rPr>
      <w:rFonts w:eastAsia="Wingdings" w:cs="Arial (Body CS)"/>
      <w:b/>
      <w:bCs/>
      <w:kern w:val="0"/>
      <w:sz w:val="18"/>
      <w:u w:color="301159"/>
      <w:lang w:val="en-GB"/>
      <w14:ligatures w14:val="none"/>
    </w:rPr>
  </w:style>
  <w:style w:type="paragraph" w:customStyle="1" w:styleId="TabletextsmallSH">
    <w:name w:val="Table text small SH"/>
    <w:basedOn w:val="Recommendationlevel2SH"/>
    <w:qFormat/>
    <w:rsid w:val="00E263FB"/>
    <w:rPr>
      <w:rFonts w:eastAsia="Wingdings"/>
      <w:bCs/>
      <w:sz w:val="18"/>
    </w:rPr>
  </w:style>
  <w:style w:type="paragraph" w:customStyle="1" w:styleId="XiconSH">
    <w:name w:val="X icon SH"/>
    <w:basedOn w:val="Normal"/>
    <w:qFormat/>
    <w:rsid w:val="00E263FB"/>
    <w:pPr>
      <w:spacing w:before="60" w:after="60"/>
      <w:jc w:val="center"/>
    </w:pPr>
    <w:rPr>
      <w:rFonts w:ascii="Wingdings" w:eastAsia="Wingdings" w:hAnsi="Wingdings" w:cstheme="minorHAnsi"/>
      <w:b/>
      <w:color w:val="FF0000"/>
      <w:kern w:val="0"/>
      <w14:ligatures w14:val="none"/>
    </w:rPr>
  </w:style>
  <w:style w:type="paragraph" w:customStyle="1" w:styleId="AcronymtableSH">
    <w:name w:val="Acronym table SH"/>
    <w:basedOn w:val="BodytextSH"/>
    <w:qFormat/>
    <w:rsid w:val="00E263FB"/>
    <w:pPr>
      <w:spacing w:before="60" w:line="240" w:lineRule="auto"/>
    </w:pPr>
    <w:rPr>
      <w:rFonts w:eastAsia="Times New Roman" w:cs="Times New Roman"/>
      <w:kern w:val="0"/>
      <w:lang w:eastAsia="en-AU"/>
      <w14:ligatures w14:val="none"/>
    </w:rPr>
  </w:style>
  <w:style w:type="paragraph" w:customStyle="1" w:styleId="BodytextitalicSH">
    <w:name w:val="Body text italic SH"/>
    <w:basedOn w:val="BodytextSH"/>
    <w:qFormat/>
    <w:rsid w:val="00E263FB"/>
    <w:pPr>
      <w:spacing w:line="240" w:lineRule="auto"/>
    </w:pPr>
    <w:rPr>
      <w:rFonts w:eastAsia="Times New Roman" w:cs="Times New Roman"/>
      <w:i/>
      <w:kern w:val="0"/>
      <w:lang w:eastAsia="en-AU"/>
      <w14:ligatures w14:val="none"/>
    </w:rPr>
  </w:style>
  <w:style w:type="paragraph" w:customStyle="1" w:styleId="Codingtablecentredcontent-SH">
    <w:name w:val="Coding table centred content - SH"/>
    <w:basedOn w:val="Normal"/>
    <w:qFormat/>
    <w:rsid w:val="00E263FB"/>
    <w:pPr>
      <w:jc w:val="center"/>
    </w:pPr>
    <w:rPr>
      <w:rFonts w:eastAsia="Times New Roman" w:cs="Calibri"/>
      <w:kern w:val="0"/>
      <w:sz w:val="20"/>
      <w:szCs w:val="16"/>
      <w:lang w:eastAsia="en-AU"/>
      <w14:ligatures w14:val="none"/>
    </w:rPr>
  </w:style>
  <w:style w:type="paragraph" w:customStyle="1" w:styleId="Codingtablecontent-SH">
    <w:name w:val="Coding table content - SH"/>
    <w:basedOn w:val="Normal"/>
    <w:qFormat/>
    <w:rsid w:val="00E263FB"/>
    <w:rPr>
      <w:rFonts w:eastAsia="Times New Roman" w:cs="Calibri"/>
      <w:kern w:val="0"/>
      <w:sz w:val="20"/>
      <w:lang w:eastAsia="en-AU"/>
      <w14:ligatures w14:val="none"/>
    </w:rPr>
  </w:style>
  <w:style w:type="paragraph" w:customStyle="1" w:styleId="Codingtableheader-SH">
    <w:name w:val="Coding table header - SH"/>
    <w:basedOn w:val="Bodytext-emhasisSH"/>
    <w:qFormat/>
    <w:rsid w:val="00E263FB"/>
    <w:pPr>
      <w:snapToGrid w:val="0"/>
      <w:spacing w:before="60" w:after="60" w:line="240" w:lineRule="auto"/>
      <w:jc w:val="center"/>
    </w:pPr>
    <w:rPr>
      <w:kern w:val="0"/>
      <w:sz w:val="20"/>
      <w:lang w:val="en-US" w:eastAsia="en-AU"/>
      <w14:ligatures w14:val="none"/>
    </w:rPr>
  </w:style>
  <w:style w:type="paragraph" w:customStyle="1" w:styleId="Condensedtextfortable-SH">
    <w:name w:val="Condensed text for table - SH"/>
    <w:basedOn w:val="BodytextSH"/>
    <w:qFormat/>
    <w:rsid w:val="00E263FB"/>
    <w:pPr>
      <w:spacing w:before="60" w:after="60" w:line="240" w:lineRule="auto"/>
    </w:pPr>
    <w:rPr>
      <w:rFonts w:eastAsia="Times New Roman" w:cs="Times New Roman"/>
      <w:kern w:val="0"/>
      <w:sz w:val="18"/>
      <w:szCs w:val="18"/>
      <w:lang w:eastAsia="en-AU"/>
      <w14:ligatures w14:val="none"/>
    </w:rPr>
  </w:style>
  <w:style w:type="paragraph" w:customStyle="1" w:styleId="Documentcontroltableheaderrow">
    <w:name w:val="Document control table header row"/>
    <w:basedOn w:val="Normal"/>
    <w:qFormat/>
    <w:rsid w:val="00E263FB"/>
    <w:pPr>
      <w:shd w:val="solid" w:color="1AA4A0" w:fill="auto"/>
    </w:pPr>
    <w:rPr>
      <w:rFonts w:eastAsia="Times New Roman"/>
      <w:b/>
      <w:color w:val="FFFFFF" w:themeColor="background1"/>
      <w:kern w:val="0"/>
      <w:sz w:val="24"/>
      <w:szCs w:val="21"/>
      <w14:ligatures w14:val="none"/>
    </w:rPr>
  </w:style>
  <w:style w:type="paragraph" w:customStyle="1" w:styleId="HeadingDocumentControlSH">
    <w:name w:val="Heading Document Control SH"/>
    <w:basedOn w:val="Heading1SH"/>
    <w:qFormat/>
    <w:rsid w:val="00E263FB"/>
    <w:rPr>
      <w:kern w:val="0"/>
      <w14:ligatures w14:val="none"/>
    </w:rPr>
  </w:style>
  <w:style w:type="paragraph" w:customStyle="1" w:styleId="Measurecodetable-textsmall-bold-SH">
    <w:name w:val="Measure code table - text small - bold - SH"/>
    <w:basedOn w:val="Normal"/>
    <w:qFormat/>
    <w:rsid w:val="00E263FB"/>
    <w:pPr>
      <w:spacing w:before="60" w:after="60"/>
    </w:pPr>
    <w:rPr>
      <w:rFonts w:eastAsia="Times New Roman"/>
      <w:b/>
      <w:bCs/>
      <w:kern w:val="0"/>
      <w:sz w:val="16"/>
      <w:szCs w:val="16"/>
      <w:lang w:eastAsia="en-AU"/>
      <w14:ligatures w14:val="none"/>
    </w:rPr>
  </w:style>
  <w:style w:type="paragraph" w:customStyle="1" w:styleId="Measurecodetable-textsmall-SH">
    <w:name w:val="Measure code table - text small - SH"/>
    <w:basedOn w:val="Normal"/>
    <w:qFormat/>
    <w:rsid w:val="00E263FB"/>
    <w:pPr>
      <w:spacing w:before="60" w:after="60"/>
    </w:pPr>
    <w:rPr>
      <w:rFonts w:eastAsia="Times New Roman" w:cs="Times New Roman"/>
      <w:kern w:val="0"/>
      <w:sz w:val="16"/>
      <w:szCs w:val="16"/>
      <w:lang w:eastAsia="en-AU"/>
      <w14:ligatures w14:val="none"/>
    </w:rPr>
  </w:style>
  <w:style w:type="paragraph" w:customStyle="1" w:styleId="Smalltext-SH">
    <w:name w:val="Small text - SH"/>
    <w:basedOn w:val="BodytextSH"/>
    <w:qFormat/>
    <w:rsid w:val="00E263FB"/>
    <w:pPr>
      <w:spacing w:before="60" w:after="60" w:line="240" w:lineRule="auto"/>
    </w:pPr>
    <w:rPr>
      <w:rFonts w:eastAsia="Times New Roman" w:cs="Times New Roman"/>
      <w:kern w:val="0"/>
      <w:sz w:val="21"/>
      <w:lang w:eastAsia="en-AU"/>
      <w14:ligatures w14:val="none"/>
    </w:rPr>
  </w:style>
  <w:style w:type="paragraph" w:customStyle="1" w:styleId="Tableheader-smallbold-SH">
    <w:name w:val="Table header - small bold - SH"/>
    <w:basedOn w:val="Normal"/>
    <w:qFormat/>
    <w:rsid w:val="00E263FB"/>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Revision">
    <w:name w:val="Revision"/>
    <w:hidden/>
    <w:uiPriority w:val="99"/>
    <w:semiHidden/>
    <w:rsid w:val="00AA661F"/>
  </w:style>
  <w:style w:type="paragraph" w:customStyle="1" w:styleId="TableheaderrowSH14ptleft">
    <w:name w:val="Table header row SH 14pt left"/>
    <w:next w:val="Normal"/>
    <w:qFormat/>
    <w:rsid w:val="00E263FB"/>
    <w:pPr>
      <w:shd w:val="solid" w:color="1AA4A0" w:fill="auto"/>
      <w:spacing w:before="60" w:after="60"/>
    </w:pPr>
    <w:rPr>
      <w:rFonts w:ascii="Arial" w:eastAsia="Times New Roman" w:hAnsi="Arial" w:cs="Arial"/>
      <w:b/>
      <w:bCs/>
      <w:color w:val="FFFFFF" w:themeColor="background1"/>
      <w:sz w:val="28"/>
      <w:szCs w:val="21"/>
    </w:rPr>
  </w:style>
  <w:style w:type="paragraph" w:customStyle="1" w:styleId="TableheaderrowSH12ptcentre">
    <w:name w:val="Table header row SH 12 pt centre"/>
    <w:basedOn w:val="TableheaderrowSH14ptleft"/>
    <w:qFormat/>
    <w:rsid w:val="00E263FB"/>
    <w:pPr>
      <w:jc w:val="center"/>
    </w:pPr>
    <w:rPr>
      <w:sz w:val="24"/>
      <w:szCs w:val="20"/>
    </w:rPr>
  </w:style>
  <w:style w:type="paragraph" w:customStyle="1" w:styleId="TableheaderrowSH12ptnonbold">
    <w:name w:val="Table header row SH 12 pt non bold"/>
    <w:basedOn w:val="TableheaderrowSH12ptcentre"/>
    <w:qFormat/>
    <w:rsid w:val="00E263FB"/>
    <w:pPr>
      <w:jc w:val="left"/>
    </w:pPr>
    <w:rPr>
      <w:b w:val="0"/>
      <w:bCs w:val="0"/>
    </w:rPr>
  </w:style>
  <w:style w:type="paragraph" w:customStyle="1" w:styleId="TableheaderrowSH12ptleft">
    <w:name w:val="Table header row SH 12pt left"/>
    <w:basedOn w:val="TableheaderrowSH14ptleft"/>
    <w:qFormat/>
    <w:rsid w:val="00E263FB"/>
    <w:rPr>
      <w:sz w:val="24"/>
      <w:szCs w:val="20"/>
    </w:rPr>
  </w:style>
  <w:style w:type="paragraph" w:customStyle="1" w:styleId="TableheaderrowSH14ptcentre">
    <w:name w:val="Table header row SH 14pt centre"/>
    <w:basedOn w:val="TableheaderrowSH14ptleft"/>
    <w:qFormat/>
    <w:rsid w:val="00E263FB"/>
    <w:pPr>
      <w:jc w:val="center"/>
    </w:pPr>
  </w:style>
  <w:style w:type="paragraph" w:styleId="Header">
    <w:name w:val="header"/>
    <w:basedOn w:val="Normal"/>
    <w:link w:val="HeaderChar"/>
    <w:uiPriority w:val="99"/>
    <w:unhideWhenUsed/>
    <w:rsid w:val="00AF0D5F"/>
    <w:pPr>
      <w:tabs>
        <w:tab w:val="center" w:pos="4680"/>
        <w:tab w:val="right" w:pos="9360"/>
      </w:tabs>
    </w:pPr>
  </w:style>
  <w:style w:type="character" w:customStyle="1" w:styleId="HeaderChar">
    <w:name w:val="Header Char"/>
    <w:basedOn w:val="DefaultParagraphFont"/>
    <w:link w:val="Header"/>
    <w:uiPriority w:val="99"/>
    <w:rsid w:val="00AF0D5F"/>
    <w:rPr>
      <w:rFonts w:ascii="Arial" w:hAnsi="Arial" w:cs="Arial"/>
      <w:color w:val="000000" w:themeColor="text1"/>
      <w:sz w:val="22"/>
      <w:szCs w:val="22"/>
    </w:rPr>
  </w:style>
  <w:style w:type="paragraph" w:styleId="Footer">
    <w:name w:val="footer"/>
    <w:basedOn w:val="Normal"/>
    <w:link w:val="FooterChar"/>
    <w:uiPriority w:val="99"/>
    <w:unhideWhenUsed/>
    <w:rsid w:val="00AF0D5F"/>
    <w:pPr>
      <w:tabs>
        <w:tab w:val="center" w:pos="4680"/>
        <w:tab w:val="right" w:pos="9360"/>
      </w:tabs>
    </w:pPr>
  </w:style>
  <w:style w:type="character" w:customStyle="1" w:styleId="FooterChar">
    <w:name w:val="Footer Char"/>
    <w:basedOn w:val="DefaultParagraphFont"/>
    <w:link w:val="Footer"/>
    <w:uiPriority w:val="99"/>
    <w:rsid w:val="00AF0D5F"/>
    <w:rPr>
      <w:rFonts w:ascii="Arial" w:hAnsi="Arial" w:cs="Arial"/>
      <w:color w:val="000000" w:themeColor="text1"/>
      <w:sz w:val="22"/>
      <w:szCs w:val="22"/>
    </w:rPr>
  </w:style>
  <w:style w:type="character" w:styleId="Hyperlink">
    <w:name w:val="Hyperlink"/>
    <w:basedOn w:val="DefaultParagraphFont"/>
    <w:uiPriority w:val="99"/>
    <w:unhideWhenUsed/>
    <w:rsid w:val="00117082"/>
    <w:rPr>
      <w:color w:val="467886" w:themeColor="hyperlink"/>
      <w:u w:val="single"/>
    </w:rPr>
  </w:style>
  <w:style w:type="character" w:customStyle="1" w:styleId="normaltextrun">
    <w:name w:val="normaltextrun"/>
    <w:basedOn w:val="DefaultParagraphFont"/>
    <w:rsid w:val="002B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2572">
      <w:bodyDiv w:val="1"/>
      <w:marLeft w:val="0"/>
      <w:marRight w:val="0"/>
      <w:marTop w:val="0"/>
      <w:marBottom w:val="0"/>
      <w:divBdr>
        <w:top w:val="none" w:sz="0" w:space="0" w:color="auto"/>
        <w:left w:val="none" w:sz="0" w:space="0" w:color="auto"/>
        <w:bottom w:val="none" w:sz="0" w:space="0" w:color="auto"/>
        <w:right w:val="none" w:sz="0" w:space="0" w:color="auto"/>
      </w:divBdr>
    </w:div>
    <w:div w:id="577985197">
      <w:bodyDiv w:val="1"/>
      <w:marLeft w:val="0"/>
      <w:marRight w:val="0"/>
      <w:marTop w:val="0"/>
      <w:marBottom w:val="0"/>
      <w:divBdr>
        <w:top w:val="none" w:sz="0" w:space="0" w:color="auto"/>
        <w:left w:val="none" w:sz="0" w:space="0" w:color="auto"/>
        <w:bottom w:val="none" w:sz="0" w:space="0" w:color="auto"/>
        <w:right w:val="none" w:sz="0" w:space="0" w:color="auto"/>
      </w:divBdr>
    </w:div>
    <w:div w:id="584219431">
      <w:bodyDiv w:val="1"/>
      <w:marLeft w:val="0"/>
      <w:marRight w:val="0"/>
      <w:marTop w:val="0"/>
      <w:marBottom w:val="0"/>
      <w:divBdr>
        <w:top w:val="none" w:sz="0" w:space="0" w:color="auto"/>
        <w:left w:val="none" w:sz="0" w:space="0" w:color="auto"/>
        <w:bottom w:val="none" w:sz="0" w:space="0" w:color="auto"/>
        <w:right w:val="none" w:sz="0" w:space="0" w:color="auto"/>
      </w:divBdr>
    </w:div>
    <w:div w:id="1182932931">
      <w:bodyDiv w:val="1"/>
      <w:marLeft w:val="0"/>
      <w:marRight w:val="0"/>
      <w:marTop w:val="0"/>
      <w:marBottom w:val="0"/>
      <w:divBdr>
        <w:top w:val="none" w:sz="0" w:space="0" w:color="auto"/>
        <w:left w:val="none" w:sz="0" w:space="0" w:color="auto"/>
        <w:bottom w:val="none" w:sz="0" w:space="0" w:color="auto"/>
        <w:right w:val="none" w:sz="0" w:space="0" w:color="auto"/>
      </w:divBdr>
    </w:div>
    <w:div w:id="1314987275">
      <w:bodyDiv w:val="1"/>
      <w:marLeft w:val="0"/>
      <w:marRight w:val="0"/>
      <w:marTop w:val="0"/>
      <w:marBottom w:val="0"/>
      <w:divBdr>
        <w:top w:val="none" w:sz="0" w:space="0" w:color="auto"/>
        <w:left w:val="none" w:sz="0" w:space="0" w:color="auto"/>
        <w:bottom w:val="none" w:sz="0" w:space="0" w:color="auto"/>
        <w:right w:val="none" w:sz="0" w:space="0" w:color="auto"/>
      </w:divBdr>
    </w:div>
    <w:div w:id="13906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c.dataportal.health.gov.au/wps/portal/dataportalcontent/usersupport/userhelpihdr/!ut/p/z1/nZFPT8JAEMW_ihw4bmboH9geqxgsTSHGAO1eyLZd6Bq6Le2C4qd3K8Z4sUbn9jJvZ978FhjEwBQ_yz3XslL8YHTCxls3CAN00Aoxmjroe6776LkB0nACmw8D_lA-Aut_vwYGrM5kDgna41yMcES8Hc-II-iIcLQFScdOmtE05VlKO3emdK0LSHKueV01mh9uskppofQQ20urRTnEUyua9lR37asoxKGWRd58Bu5JxPrv2XQR-i2JWTHZRjOzwqNWuJze2-ivF0vLC-Y2zsyMsxQvsFJVUxrGT39E8IAw_w2r-Tf5fDwy3-Dq2LxqiP_Hy0yymugu2puMXBdEql0F8Tf_VXz563JVUvtC1Nvtgsw2tPUHg3e1OrGo/dz/d5/L2dBISEvZ0FBIS9nQSE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lvinghealth.au/scorec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5f7b57bddbc73644e6c1d60c274e081a">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f269204fd5bc8567f2bb11e91b2b304a"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2.xml><?xml version="1.0" encoding="utf-8"?>
<ds:datastoreItem xmlns:ds="http://schemas.openxmlformats.org/officeDocument/2006/customXml" ds:itemID="{73138BC1-1D42-4C11-B710-E10E371C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7303F-5453-415A-97BB-24470AE2F735}">
  <ds:schemaRefs>
    <ds:schemaRef ds:uri="http://schemas.microsoft.com/office/2006/metadata/properties"/>
    <ds:schemaRef ds:uri="http://schemas.microsoft.com/office/infopath/2007/PartnerControls"/>
    <ds:schemaRef ds:uri="8b623f03-e0b9-4a3d-870d-1dbcb4637ef8"/>
    <ds:schemaRef ds:uri="147b53b7-e685-4566-9d7c-b596e8f310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5302</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Links>
    <vt:vector size="6" baseType="variant">
      <vt:variant>
        <vt:i4>6881395</vt:i4>
      </vt:variant>
      <vt:variant>
        <vt:i4>0</vt:i4>
      </vt:variant>
      <vt:variant>
        <vt:i4>0</vt:i4>
      </vt:variant>
      <vt:variant>
        <vt:i4>5</vt:i4>
      </vt:variant>
      <vt:variant>
        <vt:lpwstr>https://www.solvinghealth.au/specifications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Hayhurst</dc:creator>
  <cp:keywords/>
  <dc:description/>
  <cp:lastModifiedBy>Rachel Hayhurst</cp:lastModifiedBy>
  <cp:revision>2</cp:revision>
  <dcterms:created xsi:type="dcterms:W3CDTF">2025-12-22T01:20:00Z</dcterms:created>
  <dcterms:modified xsi:type="dcterms:W3CDTF">2025-12-22T01:20:00Z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