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E5C6" w14:textId="3D51E060" w:rsidR="00D14831" w:rsidRPr="00873198" w:rsidRDefault="00F41003" w:rsidP="00F735B2">
      <w:pPr>
        <w:pStyle w:val="QRGText"/>
        <w:rPr>
          <w:i/>
          <w:iCs/>
        </w:rPr>
        <w:sectPr w:rsidR="00D14831" w:rsidRPr="00873198" w:rsidSect="00316F6F">
          <w:headerReference w:type="default" r:id="rId8"/>
          <w:footerReference w:type="default" r:id="rId9"/>
          <w:pgSz w:w="11906" w:h="16838" w:code="9"/>
          <w:pgMar w:top="1702" w:right="849" w:bottom="851" w:left="567" w:header="284" w:footer="0" w:gutter="0"/>
          <w:cols w:space="708"/>
          <w:docGrid w:linePitch="360"/>
        </w:sectPr>
      </w:pPr>
      <w:r w:rsidRPr="00873198">
        <w:rPr>
          <w:rFonts w:ascii="Times New Roman" w:hAnsi="Times New Roman"/>
          <w:i/>
          <w:iCs/>
          <w:noProof/>
          <w:lang w:eastAsia="en-AU"/>
        </w:rPr>
        <mc:AlternateContent>
          <mc:Choice Requires="wps">
            <w:drawing>
              <wp:anchor distT="0" distB="0" distL="114300" distR="114300" simplePos="0" relativeHeight="251659264" behindDoc="0" locked="0" layoutInCell="1" allowOverlap="1" wp14:anchorId="57C649F2" wp14:editId="5839D29E">
                <wp:simplePos x="0" y="0"/>
                <wp:positionH relativeFrom="column">
                  <wp:posOffset>2849245</wp:posOffset>
                </wp:positionH>
                <wp:positionV relativeFrom="paragraph">
                  <wp:posOffset>-803910</wp:posOffset>
                </wp:positionV>
                <wp:extent cx="4147820" cy="520065"/>
                <wp:effectExtent l="0" t="0" r="0" b="1905"/>
                <wp:wrapNone/>
                <wp:docPr id="307" name="Text Box 307" title="Initiate Exception Reporting (AIH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520065"/>
                        </a:xfrm>
                        <a:prstGeom prst="rect">
                          <a:avLst/>
                        </a:prstGeom>
                        <a:noFill/>
                        <a:ln w="9525">
                          <a:noFill/>
                          <a:miter lim="800000"/>
                          <a:headEnd/>
                          <a:tailEnd/>
                        </a:ln>
                      </wps:spPr>
                      <wps:txbx>
                        <w:txbxContent>
                          <w:p w14:paraId="4A33F054" w14:textId="77777777" w:rsidR="00F41003" w:rsidRPr="00321668" w:rsidRDefault="00CB6145" w:rsidP="00F41003">
                            <w:pPr>
                              <w:jc w:val="center"/>
                              <w:rPr>
                                <w:rFonts w:asciiTheme="minorHAnsi" w:hAnsiTheme="minorHAnsi"/>
                                <w:b/>
                                <w:sz w:val="36"/>
                                <w:szCs w:val="36"/>
                              </w:rPr>
                            </w:pPr>
                            <w:r>
                              <w:rPr>
                                <w:rFonts w:asciiTheme="minorHAnsi" w:hAnsiTheme="minorHAnsi"/>
                                <w:b/>
                                <w:sz w:val="36"/>
                                <w:szCs w:val="36"/>
                              </w:rPr>
                              <w:t>Best Practice Security Token Tip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649F2" id="_x0000_t202" coordsize="21600,21600" o:spt="202" path="m,l,21600r21600,l21600,xe">
                <v:stroke joinstyle="miter"/>
                <v:path gradientshapeok="t" o:connecttype="rect"/>
              </v:shapetype>
              <v:shape id="Text Box 307" o:spid="_x0000_s1026" type="#_x0000_t202" alt="Title: Initiate Exception Reporting (AIHW)" style="position:absolute;margin-left:224.35pt;margin-top:-63.3pt;width:326.6pt;height:4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" filled="f" stroked="f">
                <v:textbox style="mso-fit-shape-to-text:t">
                  <w:txbxContent>
                    <w:p w14:paraId="4A33F054" w14:textId="77777777" w:rsidR="00F41003" w:rsidRPr="00321668" w:rsidRDefault="00CB6145" w:rsidP="00F41003">
                      <w:pPr>
                        <w:jc w:val="center"/>
                        <w:rPr>
                          <w:rFonts w:asciiTheme="minorHAnsi" w:hAnsiTheme="minorHAnsi"/>
                          <w:b/>
                          <w:sz w:val="36"/>
                          <w:szCs w:val="36"/>
                        </w:rPr>
                      </w:pPr>
                      <w:r>
                        <w:rPr>
                          <w:rFonts w:asciiTheme="minorHAnsi" w:hAnsiTheme="minorHAnsi"/>
                          <w:b/>
                          <w:sz w:val="36"/>
                          <w:szCs w:val="36"/>
                        </w:rPr>
                        <w:t>Best Practice Security Token Tip Sheet</w:t>
                      </w:r>
                    </w:p>
                  </w:txbxContent>
                </v:textbox>
              </v:shape>
            </w:pict>
          </mc:Fallback>
        </mc:AlternateContent>
      </w:r>
    </w:p>
    <w:p w14:paraId="3C14B5DF" w14:textId="7032C0DD" w:rsidR="00DD0052" w:rsidRDefault="001F0EEB" w:rsidP="00DD0052">
      <w:pPr>
        <w:pStyle w:val="QRGText"/>
      </w:pPr>
      <w:r>
        <w:t xml:space="preserve">Health </w:t>
      </w:r>
      <w:r w:rsidR="00873198">
        <w:t>s</w:t>
      </w:r>
      <w:r>
        <w:t>ervices</w:t>
      </w:r>
      <w:r w:rsidR="00CB6145">
        <w:t xml:space="preserve"> using the Clinical Information System (CIS) </w:t>
      </w:r>
      <w:r w:rsidR="00CB6145">
        <w:rPr>
          <w:b/>
        </w:rPr>
        <w:t>Best Practice</w:t>
      </w:r>
      <w:r>
        <w:t xml:space="preserve"> </w:t>
      </w:r>
      <w:r w:rsidR="00CB6145">
        <w:t xml:space="preserve">will need to </w:t>
      </w:r>
      <w:r>
        <w:t xml:space="preserve">add </w:t>
      </w:r>
      <w:r w:rsidR="00CB6145">
        <w:t xml:space="preserve">Security Token </w:t>
      </w:r>
      <w:r w:rsidR="00DD0052">
        <w:t>information for the Health Data Portal into Best Practice</w:t>
      </w:r>
      <w:r w:rsidR="00FE6F19">
        <w:t>,</w:t>
      </w:r>
      <w:r w:rsidR="00DD0052">
        <w:t xml:space="preserve"> to link it to the</w:t>
      </w:r>
      <w:r w:rsidR="00873198">
        <w:t xml:space="preserve"> Data</w:t>
      </w:r>
      <w:r w:rsidR="00DD0052">
        <w:t xml:space="preserve"> Portal</w:t>
      </w:r>
      <w:r w:rsidR="006C04E8">
        <w:t xml:space="preserve"> for Indigenous health data reporting purposes</w:t>
      </w:r>
      <w:r w:rsidR="00185B4E">
        <w:t>.</w:t>
      </w:r>
    </w:p>
    <w:p w14:paraId="661DD51F" w14:textId="789FD29F" w:rsidR="006C04E8" w:rsidRDefault="006C04E8" w:rsidP="00DD0052">
      <w:pPr>
        <w:pStyle w:val="QRGText"/>
      </w:pPr>
      <w:r>
        <w:t>A Security Token is a device that is used in order to obtain access to an electronic or digital system. The Security Token is used in addition to your password and can be thought of like an electronic key. The Security Token will connect Best Practice to the Data Portal.</w:t>
      </w:r>
    </w:p>
    <w:p w14:paraId="0191F6CB" w14:textId="19093D37" w:rsidR="00DD0052" w:rsidRDefault="00DD0052" w:rsidP="00DD0052">
      <w:pPr>
        <w:pStyle w:val="QRGText"/>
      </w:pPr>
      <w:r>
        <w:t xml:space="preserve">This Security Token information was issued to your practice by the Department of Health </w:t>
      </w:r>
      <w:r w:rsidR="00873198">
        <w:t xml:space="preserve">and Aged Care </w:t>
      </w:r>
      <w:r>
        <w:t xml:space="preserve">when you registered for nKPI reporting. </w:t>
      </w:r>
    </w:p>
    <w:p w14:paraId="6A29F303" w14:textId="7D2FB13B" w:rsidR="00CB6145" w:rsidRDefault="00CB6145" w:rsidP="00CB6145">
      <w:pPr>
        <w:pStyle w:val="QRGText"/>
      </w:pPr>
      <w:r>
        <w:rPr>
          <w:noProof/>
          <w:lang w:eastAsia="en-AU"/>
        </w:rPr>
        <w:drawing>
          <wp:inline distT="0" distB="0" distL="0" distR="0" wp14:anchorId="0C1195B8" wp14:editId="19A971D0">
            <wp:extent cx="277200" cy="277200"/>
            <wp:effectExtent l="0" t="0" r="8890" b="8890"/>
            <wp:docPr id="27" name="Picture 27"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200" cy="277200"/>
                    </a:xfrm>
                    <a:prstGeom prst="rect">
                      <a:avLst/>
                    </a:prstGeom>
                    <a:noFill/>
                    <a:ln>
                      <a:noFill/>
                    </a:ln>
                  </pic:spPr>
                </pic:pic>
              </a:graphicData>
            </a:graphic>
          </wp:inline>
        </w:drawing>
      </w:r>
      <w:r w:rsidR="006C04E8">
        <w:t xml:space="preserve">If you upgrade to a new version of Best Practice or need to re-enter your security token information for any other reason, please email </w:t>
      </w:r>
      <w:hyperlink r:id="rId11" w:history="1">
        <w:r w:rsidR="006C04E8" w:rsidRPr="00BC494C">
          <w:rPr>
            <w:rStyle w:val="Hyperlink"/>
          </w:rPr>
          <w:t>indigenousreporting@health.gov.au</w:t>
        </w:r>
      </w:hyperlink>
      <w:r w:rsidR="006C04E8">
        <w:t xml:space="preserve"> and the Health Data Portal team will send you your security token. </w:t>
      </w:r>
    </w:p>
    <w:p w14:paraId="665CBB90" w14:textId="77777777" w:rsidR="00FE6F19" w:rsidRDefault="00FE6F19" w:rsidP="00CB6145">
      <w:pPr>
        <w:pStyle w:val="QRGText"/>
      </w:pPr>
    </w:p>
    <w:p w14:paraId="0E947EB9" w14:textId="77777777" w:rsidR="008E081C" w:rsidRDefault="008E081C" w:rsidP="00CB6145">
      <w:pPr>
        <w:pStyle w:val="QRGText"/>
        <w:rPr>
          <w:b/>
        </w:rPr>
      </w:pPr>
      <w:r w:rsidRPr="008E081C">
        <w:rPr>
          <w:b/>
        </w:rPr>
        <w:t>To prepare for entering Portal Security Token information into Best Practice:</w:t>
      </w:r>
    </w:p>
    <w:p w14:paraId="71CE38E6" w14:textId="77777777" w:rsidR="008E081C" w:rsidRDefault="008E081C" w:rsidP="008E081C">
      <w:pPr>
        <w:pStyle w:val="QRGNumbering1"/>
      </w:pPr>
      <w:r>
        <w:rPr>
          <w:lang w:eastAsia="en-AU"/>
        </w:rPr>
        <w:t xml:space="preserve">Ensure you are running Best Practice Premier edition </w:t>
      </w:r>
      <w:r w:rsidRPr="00FE6F19">
        <w:rPr>
          <w:lang w:eastAsia="en-AU"/>
        </w:rPr>
        <w:t xml:space="preserve">Indigo </w:t>
      </w:r>
      <w:r>
        <w:rPr>
          <w:lang w:eastAsia="en-AU"/>
        </w:rPr>
        <w:t>or later so you can use the nKPI Report Utility.</w:t>
      </w:r>
    </w:p>
    <w:p w14:paraId="0F69CA84" w14:textId="77777777" w:rsidR="008E081C" w:rsidRDefault="008E081C" w:rsidP="008E081C">
      <w:pPr>
        <w:pStyle w:val="QRGNumbering1"/>
        <w:rPr>
          <w:lang w:eastAsia="en-AU"/>
        </w:rPr>
      </w:pPr>
      <w:r>
        <w:rPr>
          <w:lang w:eastAsia="en-AU"/>
        </w:rPr>
        <w:t>To see which version of Best Practice Premier you are running:</w:t>
      </w:r>
    </w:p>
    <w:p w14:paraId="688AE046" w14:textId="77777777" w:rsidR="008E081C" w:rsidRDefault="008E081C" w:rsidP="008E081C">
      <w:pPr>
        <w:pStyle w:val="QRGNumbering2"/>
      </w:pPr>
      <w:r>
        <w:t xml:space="preserve">Select </w:t>
      </w:r>
      <w:r w:rsidRPr="00FE6F19">
        <w:rPr>
          <w:b/>
        </w:rPr>
        <w:t>Help</w:t>
      </w:r>
      <w:r w:rsidRPr="00FE6F19">
        <w:t xml:space="preserve">. </w:t>
      </w:r>
    </w:p>
    <w:p w14:paraId="32CAD1B8" w14:textId="77777777" w:rsidR="008E081C" w:rsidRDefault="008E081C" w:rsidP="008E081C">
      <w:pPr>
        <w:pStyle w:val="QRGNumbering2"/>
        <w:rPr>
          <w:lang w:eastAsia="en-AU"/>
        </w:rPr>
      </w:pPr>
      <w:r>
        <w:rPr>
          <w:lang w:eastAsia="en-AU"/>
        </w:rPr>
        <w:t xml:space="preserve">Select </w:t>
      </w:r>
      <w:r w:rsidRPr="00FE6F19">
        <w:rPr>
          <w:b/>
        </w:rPr>
        <w:t>About</w:t>
      </w:r>
      <w:r w:rsidRPr="00DD0052">
        <w:rPr>
          <w:lang w:eastAsia="en-AU"/>
        </w:rPr>
        <w:t xml:space="preserve"> </w:t>
      </w:r>
      <w:r>
        <w:rPr>
          <w:lang w:eastAsia="en-AU"/>
        </w:rPr>
        <w:t>from the main menu.</w:t>
      </w:r>
    </w:p>
    <w:p w14:paraId="29DC5617" w14:textId="77777777" w:rsidR="008E081C" w:rsidRDefault="008E081C" w:rsidP="008E081C">
      <w:pPr>
        <w:pStyle w:val="QRGNumbering2"/>
        <w:rPr>
          <w:lang w:eastAsia="en-AU"/>
        </w:rPr>
      </w:pPr>
      <w:r>
        <w:rPr>
          <w:lang w:eastAsia="en-AU"/>
        </w:rPr>
        <w:t xml:space="preserve">Check the </w:t>
      </w:r>
      <w:r w:rsidRPr="00DD0052">
        <w:rPr>
          <w:b/>
          <w:lang w:eastAsia="en-AU"/>
        </w:rPr>
        <w:t>Version</w:t>
      </w:r>
      <w:r w:rsidRPr="00DD0052">
        <w:rPr>
          <w:lang w:eastAsia="en-AU"/>
        </w:rPr>
        <w:t xml:space="preserve"> </w:t>
      </w:r>
      <w:r>
        <w:rPr>
          <w:lang w:eastAsia="en-AU"/>
        </w:rPr>
        <w:t xml:space="preserve">field. The most recent </w:t>
      </w:r>
      <w:r w:rsidRPr="00DD0052">
        <w:t>version</w:t>
      </w:r>
      <w:r>
        <w:rPr>
          <w:lang w:eastAsia="en-AU"/>
        </w:rPr>
        <w:t xml:space="preserve"> prior to Indigo was Lava Edition Service Pack 3.</w:t>
      </w:r>
    </w:p>
    <w:p w14:paraId="04DF6675" w14:textId="77777777" w:rsidR="008E081C" w:rsidRDefault="008E081C" w:rsidP="008E081C">
      <w:pPr>
        <w:pStyle w:val="QRGText"/>
      </w:pPr>
      <w:r>
        <w:rPr>
          <w:noProof/>
          <w:lang w:eastAsia="en-AU"/>
        </w:rPr>
        <w:drawing>
          <wp:inline distT="0" distB="0" distL="0" distR="0" wp14:anchorId="147FF45C" wp14:editId="0BCE1EF4">
            <wp:extent cx="277200" cy="277200"/>
            <wp:effectExtent l="0" t="0" r="8890" b="8890"/>
            <wp:docPr id="4" name="Picture 4"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200" cy="277200"/>
                    </a:xfrm>
                    <a:prstGeom prst="rect">
                      <a:avLst/>
                    </a:prstGeom>
                    <a:noFill/>
                    <a:ln>
                      <a:noFill/>
                    </a:ln>
                  </pic:spPr>
                </pic:pic>
              </a:graphicData>
            </a:graphic>
          </wp:inline>
        </w:drawing>
      </w:r>
      <w:r w:rsidR="001B66AB">
        <w:t xml:space="preserve"> To download and install Indigo,</w:t>
      </w:r>
      <w:r>
        <w:t xml:space="preserve"> visit </w:t>
      </w:r>
      <w:hyperlink r:id="rId12" w:history="1">
        <w:r w:rsidR="001B66AB">
          <w:rPr>
            <w:rStyle w:val="Hyperlink"/>
          </w:rPr>
          <w:t>Best Practice</w:t>
        </w:r>
      </w:hyperlink>
      <w:r w:rsidR="001B66AB">
        <w:t xml:space="preserve">, </w:t>
      </w:r>
      <w:r>
        <w:t xml:space="preserve">select </w:t>
      </w:r>
      <w:r w:rsidRPr="00E0655C">
        <w:rPr>
          <w:b/>
        </w:rPr>
        <w:t>Resources &gt; Bp Premier Downloads</w:t>
      </w:r>
      <w:r>
        <w:t xml:space="preserve"> from the menu at the top of the screen and </w:t>
      </w:r>
      <w:r w:rsidR="001B66AB">
        <w:t xml:space="preserve">then </w:t>
      </w:r>
      <w:r>
        <w:t>select the applicable download.</w:t>
      </w:r>
    </w:p>
    <w:p w14:paraId="096A4F87" w14:textId="77777777" w:rsidR="008E081C" w:rsidRDefault="008E081C" w:rsidP="008E081C">
      <w:pPr>
        <w:pStyle w:val="QRGText"/>
      </w:pPr>
    </w:p>
    <w:p w14:paraId="4E79AA49" w14:textId="709A2CC3" w:rsidR="008E081C" w:rsidRPr="001B66AB" w:rsidRDefault="008E081C" w:rsidP="00CB6145">
      <w:pPr>
        <w:pStyle w:val="QRGNumbering1"/>
        <w:rPr>
          <w:b/>
        </w:rPr>
      </w:pPr>
      <w:r>
        <w:rPr>
          <w:lang w:eastAsia="en-AU"/>
        </w:rPr>
        <w:t xml:space="preserve">Once you have downloaded and installed the </w:t>
      </w:r>
      <w:r w:rsidR="00F56AE4">
        <w:rPr>
          <w:lang w:eastAsia="en-AU"/>
        </w:rPr>
        <w:t>latest release of Bp Premier</w:t>
      </w:r>
      <w:r>
        <w:rPr>
          <w:lang w:eastAsia="en-AU"/>
        </w:rPr>
        <w:t xml:space="preserve">, you </w:t>
      </w:r>
      <w:r w:rsidR="00F56AE4">
        <w:rPr>
          <w:lang w:eastAsia="en-AU"/>
        </w:rPr>
        <w:t>can install the Reporting Tool at</w:t>
      </w:r>
      <w:r>
        <w:rPr>
          <w:lang w:eastAsia="en-AU"/>
        </w:rPr>
        <w:t xml:space="preserve">: </w:t>
      </w:r>
      <w:hyperlink r:id="rId13" w:history="1">
        <w:r w:rsidR="001B66AB" w:rsidRPr="001F2CBC">
          <w:rPr>
            <w:rStyle w:val="Hyperlink"/>
          </w:rPr>
          <w:t>Bp Premier Reporting Tool</w:t>
        </w:r>
      </w:hyperlink>
      <w:r>
        <w:rPr>
          <w:lang w:eastAsia="en-AU"/>
        </w:rPr>
        <w:t>.</w:t>
      </w:r>
    </w:p>
    <w:p w14:paraId="2C868DDC" w14:textId="77777777" w:rsidR="008E081C" w:rsidRDefault="008E081C" w:rsidP="00CB6145">
      <w:pPr>
        <w:pStyle w:val="QRGText"/>
        <w:rPr>
          <w:b/>
        </w:rPr>
      </w:pPr>
    </w:p>
    <w:p w14:paraId="40FCF482" w14:textId="77777777" w:rsidR="001B66AB" w:rsidRDefault="001B66AB" w:rsidP="00CB6145">
      <w:pPr>
        <w:pStyle w:val="QRGText"/>
        <w:rPr>
          <w:b/>
        </w:rPr>
      </w:pPr>
    </w:p>
    <w:p w14:paraId="306C8078" w14:textId="77777777" w:rsidR="00DD0052" w:rsidRDefault="00DD0052" w:rsidP="00CB6145">
      <w:pPr>
        <w:pStyle w:val="QRGText"/>
      </w:pPr>
      <w:r w:rsidRPr="008E081C">
        <w:rPr>
          <w:b/>
        </w:rPr>
        <w:t>To enter</w:t>
      </w:r>
      <w:r>
        <w:t xml:space="preserve"> </w:t>
      </w:r>
      <w:r w:rsidR="008E081C" w:rsidRPr="008E081C">
        <w:rPr>
          <w:b/>
        </w:rPr>
        <w:t>Portal Security Token information into Best Practice:</w:t>
      </w:r>
    </w:p>
    <w:p w14:paraId="4D895728" w14:textId="77777777" w:rsidR="00FE6F19" w:rsidRDefault="00FE6F19" w:rsidP="008E081C">
      <w:pPr>
        <w:pStyle w:val="QRGNumbering1"/>
        <w:numPr>
          <w:ilvl w:val="0"/>
          <w:numId w:val="41"/>
        </w:numPr>
      </w:pPr>
      <w:r>
        <w:t xml:space="preserve">Ensure you are at </w:t>
      </w:r>
      <w:r w:rsidRPr="008E081C">
        <w:rPr>
          <w:i/>
        </w:rPr>
        <w:t>Step 2 Login</w:t>
      </w:r>
      <w:r>
        <w:t xml:space="preserve"> of the Reporting Utility Set-up process in Best Practice.</w:t>
      </w:r>
    </w:p>
    <w:p w14:paraId="28E17206" w14:textId="71E4F86E" w:rsidR="00DD0052" w:rsidRDefault="00357178" w:rsidP="00FE6F19">
      <w:pPr>
        <w:pStyle w:val="QRGPictureCentre"/>
      </w:pPr>
      <w:r>
        <w:drawing>
          <wp:inline distT="0" distB="0" distL="0" distR="0" wp14:anchorId="5500D12C" wp14:editId="08D3628B">
            <wp:extent cx="2705100" cy="3152775"/>
            <wp:effectExtent l="0" t="0" r="0" b="9525"/>
            <wp:docPr id="2" name="Picture 2" descr="picture of the login screen with the Health Data Portal secuirty tokwn field high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3152775"/>
                    </a:xfrm>
                    <a:prstGeom prst="rect">
                      <a:avLst/>
                    </a:prstGeom>
                    <a:noFill/>
                    <a:ln>
                      <a:noFill/>
                    </a:ln>
                  </pic:spPr>
                </pic:pic>
              </a:graphicData>
            </a:graphic>
          </wp:inline>
        </w:drawing>
      </w:r>
    </w:p>
    <w:p w14:paraId="6BE01782" w14:textId="1BA7A9FF" w:rsidR="00FE6F19" w:rsidRDefault="00FE6F19" w:rsidP="00DD0052">
      <w:pPr>
        <w:pStyle w:val="QRGNumbering1"/>
      </w:pPr>
      <w:r>
        <w:t xml:space="preserve">If it is your first time running the reporting tool, in the </w:t>
      </w:r>
      <w:r w:rsidRPr="00FE6F19">
        <w:rPr>
          <w:b/>
        </w:rPr>
        <w:t xml:space="preserve">Department of Health Endpoint Key </w:t>
      </w:r>
      <w:r w:rsidRPr="00FE6F19">
        <w:t xml:space="preserve">field, </w:t>
      </w:r>
      <w:r>
        <w:t>e</w:t>
      </w:r>
      <w:r w:rsidR="00927A71">
        <w:t>nter the Security Token details th</w:t>
      </w:r>
      <w:r w:rsidR="00DD0052">
        <w:t>at were issued to your practice.</w:t>
      </w:r>
      <w:r w:rsidR="005E573D">
        <w:t xml:space="preserve"> </w:t>
      </w:r>
      <w:r w:rsidR="00F56AE4">
        <w:t>You do not need to enter any information into the Department of Health</w:t>
      </w:r>
      <w:r w:rsidR="00873198">
        <w:t xml:space="preserve"> and Aged Care</w:t>
      </w:r>
      <w:r w:rsidR="00F56AE4">
        <w:t xml:space="preserve"> Legacy Endpoint Key field.</w:t>
      </w:r>
    </w:p>
    <w:p w14:paraId="0EF2D36F" w14:textId="77777777" w:rsidR="00927A71" w:rsidRDefault="00FE6F19" w:rsidP="00FE6F19">
      <w:pPr>
        <w:pStyle w:val="QRGText"/>
      </w:pPr>
      <w:r>
        <w:rPr>
          <w:noProof/>
          <w:lang w:eastAsia="en-AU"/>
        </w:rPr>
        <w:drawing>
          <wp:inline distT="0" distB="0" distL="0" distR="0" wp14:anchorId="2AB96AE6" wp14:editId="2646B4C0">
            <wp:extent cx="277200" cy="277200"/>
            <wp:effectExtent l="0" t="0" r="8890" b="8890"/>
            <wp:docPr id="5" name="Picture 5"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200" cy="277200"/>
                    </a:xfrm>
                    <a:prstGeom prst="rect">
                      <a:avLst/>
                    </a:prstGeom>
                    <a:noFill/>
                    <a:ln>
                      <a:noFill/>
                    </a:ln>
                  </pic:spPr>
                </pic:pic>
              </a:graphicData>
            </a:graphic>
          </wp:inline>
        </w:drawing>
      </w:r>
      <w:r>
        <w:t xml:space="preserve"> </w:t>
      </w:r>
      <w:r w:rsidR="005E573D">
        <w:t xml:space="preserve">If you need to change a previously entered token, simply use the </w:t>
      </w:r>
      <w:r w:rsidR="005E573D" w:rsidRPr="00FE6F19">
        <w:rPr>
          <w:b/>
        </w:rPr>
        <w:t>More Options</w:t>
      </w:r>
      <w:r w:rsidR="005E573D">
        <w:t xml:space="preserve"> button to show the Endpoint Key fields again.</w:t>
      </w:r>
    </w:p>
    <w:p w14:paraId="14A610E2" w14:textId="77777777" w:rsidR="00FE6F19" w:rsidRDefault="00FE6F19" w:rsidP="00A536E8">
      <w:pPr>
        <w:pStyle w:val="QRGText"/>
      </w:pPr>
    </w:p>
    <w:p w14:paraId="41E2737C" w14:textId="6018D5AB" w:rsidR="00A536E8" w:rsidRDefault="00A536E8" w:rsidP="00A536E8">
      <w:pPr>
        <w:pStyle w:val="QRGText"/>
      </w:pPr>
      <w:r>
        <w:t>You have now successfully connected Best Practice to</w:t>
      </w:r>
      <w:r w:rsidR="004F0A7D">
        <w:t xml:space="preserve"> the </w:t>
      </w:r>
      <w:r w:rsidR="00873198">
        <w:t xml:space="preserve">Data </w:t>
      </w:r>
      <w:r w:rsidR="004F0A7D">
        <w:t>Portal by entering in the Security T</w:t>
      </w:r>
      <w:r>
        <w:t>oken information provided.</w:t>
      </w:r>
    </w:p>
    <w:p w14:paraId="27753D88" w14:textId="77777777" w:rsidR="00A536E8" w:rsidRDefault="00A536E8" w:rsidP="00A536E8">
      <w:pPr>
        <w:pStyle w:val="QRGNumbering1"/>
        <w:numPr>
          <w:ilvl w:val="0"/>
          <w:numId w:val="0"/>
        </w:numPr>
        <w:ind w:left="720" w:hanging="360"/>
        <w:rPr>
          <w:lang w:eastAsia="en-AU"/>
        </w:rPr>
      </w:pPr>
    </w:p>
    <w:sectPr w:rsidR="00A536E8" w:rsidSect="00782337">
      <w:type w:val="continuous"/>
      <w:pgSz w:w="11906" w:h="16838" w:code="9"/>
      <w:pgMar w:top="2127"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A27E" w14:textId="77777777" w:rsidR="005736A9" w:rsidRDefault="005736A9" w:rsidP="00AF798B">
      <w:pPr>
        <w:spacing w:before="0" w:after="0"/>
      </w:pPr>
      <w:r>
        <w:separator/>
      </w:r>
    </w:p>
    <w:p w14:paraId="0E58B8AF" w14:textId="77777777" w:rsidR="005736A9" w:rsidRDefault="005736A9"/>
  </w:endnote>
  <w:endnote w:type="continuationSeparator" w:id="0">
    <w:p w14:paraId="49B662D8" w14:textId="77777777" w:rsidR="005736A9" w:rsidRDefault="005736A9" w:rsidP="00AF798B">
      <w:pPr>
        <w:spacing w:before="0" w:after="0"/>
      </w:pPr>
      <w:r>
        <w:continuationSeparator/>
      </w:r>
    </w:p>
    <w:p w14:paraId="74FAD899" w14:textId="77777777" w:rsidR="005736A9" w:rsidRDefault="0057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653659CC" w14:textId="1B97C263"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525B39">
              <w:rPr>
                <w:noProof/>
              </w:rPr>
              <w:t>1</w:t>
            </w:r>
            <w:r>
              <w:rPr>
                <w:sz w:val="24"/>
              </w:rPr>
              <w:fldChar w:fldCharType="end"/>
            </w:r>
            <w:r>
              <w:t xml:space="preserve"> of </w:t>
            </w:r>
            <w:r w:rsidR="00EA1A97">
              <w:rPr>
                <w:noProof/>
              </w:rPr>
              <w:fldChar w:fldCharType="begin"/>
            </w:r>
            <w:r w:rsidR="00EA1A97">
              <w:rPr>
                <w:noProof/>
              </w:rPr>
              <w:instrText xml:space="preserve"> NUMPAGES  </w:instrText>
            </w:r>
            <w:r w:rsidR="00EA1A97">
              <w:rPr>
                <w:noProof/>
              </w:rPr>
              <w:fldChar w:fldCharType="separate"/>
            </w:r>
            <w:r w:rsidR="00525B39">
              <w:rPr>
                <w:noProof/>
              </w:rPr>
              <w:t>1</w:t>
            </w:r>
            <w:r w:rsidR="00EA1A97">
              <w:rPr>
                <w:noProof/>
              </w:rPr>
              <w:fldChar w:fldCharType="end"/>
            </w:r>
          </w:p>
        </w:sdtContent>
      </w:sdt>
    </w:sdtContent>
  </w:sdt>
  <w:p w14:paraId="711FCEE2"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FFFC" w14:textId="77777777" w:rsidR="005736A9" w:rsidRDefault="005736A9" w:rsidP="00AF798B">
      <w:pPr>
        <w:spacing w:before="0" w:after="0"/>
      </w:pPr>
      <w:r>
        <w:separator/>
      </w:r>
    </w:p>
    <w:p w14:paraId="207E2796" w14:textId="77777777" w:rsidR="005736A9" w:rsidRDefault="005736A9"/>
  </w:footnote>
  <w:footnote w:type="continuationSeparator" w:id="0">
    <w:p w14:paraId="725047CB" w14:textId="77777777" w:rsidR="005736A9" w:rsidRDefault="005736A9" w:rsidP="00AF798B">
      <w:pPr>
        <w:spacing w:before="0" w:after="0"/>
      </w:pPr>
      <w:r>
        <w:continuationSeparator/>
      </w:r>
    </w:p>
    <w:p w14:paraId="0CDF226C" w14:textId="77777777" w:rsidR="005736A9" w:rsidRDefault="00573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DA0B" w14:textId="707DF46A" w:rsidR="00AF798B" w:rsidRPr="000767A1" w:rsidRDefault="00873198" w:rsidP="000767A1">
    <w:pPr>
      <w:pStyle w:val="QRGheadergood"/>
    </w:pPr>
    <w:r>
      <w:drawing>
        <wp:anchor distT="0" distB="0" distL="114300" distR="114300" simplePos="0" relativeHeight="251661312" behindDoc="0" locked="0" layoutInCell="1" allowOverlap="1" wp14:anchorId="2B168849" wp14:editId="2A830E0B">
          <wp:simplePos x="0" y="0"/>
          <wp:positionH relativeFrom="column">
            <wp:posOffset>-121920</wp:posOffset>
          </wp:positionH>
          <wp:positionV relativeFrom="paragraph">
            <wp:posOffset>57785</wp:posOffset>
          </wp:positionV>
          <wp:extent cx="2469068" cy="745414"/>
          <wp:effectExtent l="0" t="0" r="7620" b="0"/>
          <wp:wrapSquare wrapText="bothSides"/>
          <wp:docPr id="12" name="Picture 12" descr="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partment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525B39" w:rsidRPr="000628A2">
      <w:drawing>
        <wp:anchor distT="0" distB="0" distL="114300" distR="114300" simplePos="0" relativeHeight="251659264" behindDoc="0" locked="0" layoutInCell="1" allowOverlap="1" wp14:anchorId="127FCD62" wp14:editId="06DB695E">
          <wp:simplePos x="0" y="0"/>
          <wp:positionH relativeFrom="column">
            <wp:posOffset>-352425</wp:posOffset>
          </wp:positionH>
          <wp:positionV relativeFrom="paragraph">
            <wp:posOffset>-162560</wp:posOffset>
          </wp:positionV>
          <wp:extent cx="7534275" cy="1045845"/>
          <wp:effectExtent l="19050" t="19050" r="28575" b="20955"/>
          <wp:wrapNone/>
          <wp:docPr id="7" name="Picture 7" descr="Top banner showing the Department of Health crest and the &quot;Best Practice Security Token Tip Sheet&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AC8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784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540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D88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3AC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9A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12F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2A9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A38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4A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2AB8335E"/>
    <w:lvl w:ilvl="0" w:tplc="25B85D12">
      <w:start w:val="1"/>
      <w:numFmt w:val="decimal"/>
      <w:pStyle w:val="QRGNumbering1"/>
      <w:lvlText w:val="%1."/>
      <w:lvlJc w:val="left"/>
      <w:pPr>
        <w:ind w:left="720" w:hanging="360"/>
      </w:pPr>
      <w:rPr>
        <w:b w:val="0"/>
      </w:r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2733009">
    <w:abstractNumId w:val="11"/>
  </w:num>
  <w:num w:numId="2" w16cid:durableId="1912084816">
    <w:abstractNumId w:val="10"/>
  </w:num>
  <w:num w:numId="3" w16cid:durableId="2026517770">
    <w:abstractNumId w:val="12"/>
  </w:num>
  <w:num w:numId="4" w16cid:durableId="470100418">
    <w:abstractNumId w:val="10"/>
    <w:lvlOverride w:ilvl="0">
      <w:startOverride w:val="1"/>
    </w:lvlOverride>
  </w:num>
  <w:num w:numId="5" w16cid:durableId="735904066">
    <w:abstractNumId w:val="10"/>
    <w:lvlOverride w:ilvl="0">
      <w:startOverride w:val="1"/>
    </w:lvlOverride>
  </w:num>
  <w:num w:numId="6" w16cid:durableId="1074743944">
    <w:abstractNumId w:val="10"/>
    <w:lvlOverride w:ilvl="0">
      <w:startOverride w:val="1"/>
    </w:lvlOverride>
  </w:num>
  <w:num w:numId="7" w16cid:durableId="82260058">
    <w:abstractNumId w:val="9"/>
  </w:num>
  <w:num w:numId="8" w16cid:durableId="34354592">
    <w:abstractNumId w:val="7"/>
  </w:num>
  <w:num w:numId="9" w16cid:durableId="1319534519">
    <w:abstractNumId w:val="6"/>
  </w:num>
  <w:num w:numId="10" w16cid:durableId="836966529">
    <w:abstractNumId w:val="5"/>
  </w:num>
  <w:num w:numId="11" w16cid:durableId="1307121433">
    <w:abstractNumId w:val="4"/>
  </w:num>
  <w:num w:numId="12" w16cid:durableId="1015113147">
    <w:abstractNumId w:val="8"/>
  </w:num>
  <w:num w:numId="13" w16cid:durableId="1724913279">
    <w:abstractNumId w:val="3"/>
  </w:num>
  <w:num w:numId="14" w16cid:durableId="1276055735">
    <w:abstractNumId w:val="2"/>
  </w:num>
  <w:num w:numId="15" w16cid:durableId="1271013542">
    <w:abstractNumId w:val="1"/>
  </w:num>
  <w:num w:numId="16" w16cid:durableId="1445079611">
    <w:abstractNumId w:val="0"/>
  </w:num>
  <w:num w:numId="17" w16cid:durableId="1428496736">
    <w:abstractNumId w:val="10"/>
    <w:lvlOverride w:ilvl="0">
      <w:startOverride w:val="1"/>
    </w:lvlOverride>
  </w:num>
  <w:num w:numId="18" w16cid:durableId="147064550">
    <w:abstractNumId w:val="10"/>
    <w:lvlOverride w:ilvl="0">
      <w:startOverride w:val="1"/>
    </w:lvlOverride>
  </w:num>
  <w:num w:numId="19" w16cid:durableId="2061400383">
    <w:abstractNumId w:val="10"/>
    <w:lvlOverride w:ilvl="0">
      <w:startOverride w:val="1"/>
    </w:lvlOverride>
  </w:num>
  <w:num w:numId="20" w16cid:durableId="629745589">
    <w:abstractNumId w:val="10"/>
    <w:lvlOverride w:ilvl="0">
      <w:startOverride w:val="1"/>
    </w:lvlOverride>
  </w:num>
  <w:num w:numId="21" w16cid:durableId="856775570">
    <w:abstractNumId w:val="10"/>
    <w:lvlOverride w:ilvl="0">
      <w:startOverride w:val="1"/>
    </w:lvlOverride>
  </w:num>
  <w:num w:numId="22" w16cid:durableId="3020710">
    <w:abstractNumId w:val="10"/>
    <w:lvlOverride w:ilvl="0">
      <w:startOverride w:val="1"/>
    </w:lvlOverride>
  </w:num>
  <w:num w:numId="23" w16cid:durableId="1249541419">
    <w:abstractNumId w:val="10"/>
    <w:lvlOverride w:ilvl="0">
      <w:startOverride w:val="1"/>
    </w:lvlOverride>
  </w:num>
  <w:num w:numId="24" w16cid:durableId="192153263">
    <w:abstractNumId w:val="10"/>
  </w:num>
  <w:num w:numId="25" w16cid:durableId="1313871975">
    <w:abstractNumId w:val="10"/>
    <w:lvlOverride w:ilvl="0">
      <w:startOverride w:val="1"/>
    </w:lvlOverride>
  </w:num>
  <w:num w:numId="26" w16cid:durableId="1464693629">
    <w:abstractNumId w:val="10"/>
    <w:lvlOverride w:ilvl="0">
      <w:startOverride w:val="1"/>
    </w:lvlOverride>
  </w:num>
  <w:num w:numId="27" w16cid:durableId="219244518">
    <w:abstractNumId w:val="10"/>
    <w:lvlOverride w:ilvl="0">
      <w:startOverride w:val="1"/>
    </w:lvlOverride>
  </w:num>
  <w:num w:numId="28" w16cid:durableId="807281454">
    <w:abstractNumId w:val="10"/>
    <w:lvlOverride w:ilvl="0">
      <w:startOverride w:val="1"/>
    </w:lvlOverride>
  </w:num>
  <w:num w:numId="29" w16cid:durableId="1683121866">
    <w:abstractNumId w:val="10"/>
    <w:lvlOverride w:ilvl="0">
      <w:startOverride w:val="1"/>
    </w:lvlOverride>
  </w:num>
  <w:num w:numId="30" w16cid:durableId="1632663152">
    <w:abstractNumId w:val="10"/>
    <w:lvlOverride w:ilvl="0">
      <w:startOverride w:val="1"/>
    </w:lvlOverride>
  </w:num>
  <w:num w:numId="31" w16cid:durableId="960301739">
    <w:abstractNumId w:val="10"/>
    <w:lvlOverride w:ilvl="0">
      <w:startOverride w:val="1"/>
    </w:lvlOverride>
  </w:num>
  <w:num w:numId="32" w16cid:durableId="1820614942">
    <w:abstractNumId w:val="10"/>
    <w:lvlOverride w:ilvl="0">
      <w:startOverride w:val="1"/>
    </w:lvlOverride>
  </w:num>
  <w:num w:numId="33" w16cid:durableId="620765252">
    <w:abstractNumId w:val="10"/>
    <w:lvlOverride w:ilvl="0">
      <w:startOverride w:val="1"/>
    </w:lvlOverride>
  </w:num>
  <w:num w:numId="34" w16cid:durableId="1054155462">
    <w:abstractNumId w:val="10"/>
    <w:lvlOverride w:ilvl="0">
      <w:startOverride w:val="1"/>
    </w:lvlOverride>
  </w:num>
  <w:num w:numId="35" w16cid:durableId="5839988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508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9730793">
    <w:abstractNumId w:val="10"/>
    <w:lvlOverride w:ilvl="0">
      <w:startOverride w:val="1"/>
    </w:lvlOverride>
  </w:num>
  <w:num w:numId="38" w16cid:durableId="174196782">
    <w:abstractNumId w:val="10"/>
  </w:num>
  <w:num w:numId="39" w16cid:durableId="1568346145">
    <w:abstractNumId w:val="10"/>
  </w:num>
  <w:num w:numId="40" w16cid:durableId="472142108">
    <w:abstractNumId w:val="10"/>
  </w:num>
  <w:num w:numId="41" w16cid:durableId="1853564080">
    <w:abstractNumId w:val="10"/>
    <w:lvlOverride w:ilvl="0">
      <w:startOverride w:val="1"/>
    </w:lvlOverride>
  </w:num>
  <w:num w:numId="42" w16cid:durableId="1744721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AA"/>
    <w:rsid w:val="00003743"/>
    <w:rsid w:val="0002128E"/>
    <w:rsid w:val="00056198"/>
    <w:rsid w:val="00060CB2"/>
    <w:rsid w:val="00067456"/>
    <w:rsid w:val="000767A1"/>
    <w:rsid w:val="000818E8"/>
    <w:rsid w:val="00092FBC"/>
    <w:rsid w:val="000A256F"/>
    <w:rsid w:val="000A62AF"/>
    <w:rsid w:val="000C67A5"/>
    <w:rsid w:val="000C7BD5"/>
    <w:rsid w:val="000E3CDD"/>
    <w:rsid w:val="00105105"/>
    <w:rsid w:val="0011737E"/>
    <w:rsid w:val="00135C0E"/>
    <w:rsid w:val="001777AB"/>
    <w:rsid w:val="00185B4E"/>
    <w:rsid w:val="001B1A18"/>
    <w:rsid w:val="001B3443"/>
    <w:rsid w:val="001B66AB"/>
    <w:rsid w:val="001B6D7E"/>
    <w:rsid w:val="001F0EEB"/>
    <w:rsid w:val="001F2CBC"/>
    <w:rsid w:val="001F6964"/>
    <w:rsid w:val="00200606"/>
    <w:rsid w:val="0020313B"/>
    <w:rsid w:val="002A14B7"/>
    <w:rsid w:val="002E4840"/>
    <w:rsid w:val="00302AEE"/>
    <w:rsid w:val="0030786C"/>
    <w:rsid w:val="00313943"/>
    <w:rsid w:val="00316F6F"/>
    <w:rsid w:val="00321668"/>
    <w:rsid w:val="00357178"/>
    <w:rsid w:val="00377A0F"/>
    <w:rsid w:val="003824B8"/>
    <w:rsid w:val="003964D7"/>
    <w:rsid w:val="003B4F0B"/>
    <w:rsid w:val="003B5BC3"/>
    <w:rsid w:val="003D17F9"/>
    <w:rsid w:val="003D3A1F"/>
    <w:rsid w:val="003F26C8"/>
    <w:rsid w:val="00406309"/>
    <w:rsid w:val="0041771E"/>
    <w:rsid w:val="0042275E"/>
    <w:rsid w:val="0044588C"/>
    <w:rsid w:val="004867E2"/>
    <w:rsid w:val="004A7277"/>
    <w:rsid w:val="004B0826"/>
    <w:rsid w:val="004F0A7D"/>
    <w:rsid w:val="00522938"/>
    <w:rsid w:val="00525B39"/>
    <w:rsid w:val="0054433A"/>
    <w:rsid w:val="005736A9"/>
    <w:rsid w:val="0057671C"/>
    <w:rsid w:val="0058320B"/>
    <w:rsid w:val="005B6BDB"/>
    <w:rsid w:val="005C0EF9"/>
    <w:rsid w:val="005E573D"/>
    <w:rsid w:val="005F73BA"/>
    <w:rsid w:val="00607DF1"/>
    <w:rsid w:val="00616E13"/>
    <w:rsid w:val="00626300"/>
    <w:rsid w:val="006322E0"/>
    <w:rsid w:val="00665D42"/>
    <w:rsid w:val="006961E7"/>
    <w:rsid w:val="006C04E8"/>
    <w:rsid w:val="006D260B"/>
    <w:rsid w:val="006F15B8"/>
    <w:rsid w:val="00704975"/>
    <w:rsid w:val="00705BE7"/>
    <w:rsid w:val="00706011"/>
    <w:rsid w:val="0071211E"/>
    <w:rsid w:val="007426D9"/>
    <w:rsid w:val="00753FC3"/>
    <w:rsid w:val="00776215"/>
    <w:rsid w:val="00782337"/>
    <w:rsid w:val="00782BAA"/>
    <w:rsid w:val="00790A87"/>
    <w:rsid w:val="0079108D"/>
    <w:rsid w:val="00792542"/>
    <w:rsid w:val="00793165"/>
    <w:rsid w:val="00795439"/>
    <w:rsid w:val="007A41CA"/>
    <w:rsid w:val="007C4D6B"/>
    <w:rsid w:val="007F6326"/>
    <w:rsid w:val="007F7E9D"/>
    <w:rsid w:val="008124D5"/>
    <w:rsid w:val="008201F9"/>
    <w:rsid w:val="008264EB"/>
    <w:rsid w:val="0086094A"/>
    <w:rsid w:val="00867F5E"/>
    <w:rsid w:val="00870FC6"/>
    <w:rsid w:val="00871C17"/>
    <w:rsid w:val="00873198"/>
    <w:rsid w:val="008B186D"/>
    <w:rsid w:val="008D22B5"/>
    <w:rsid w:val="008D26CA"/>
    <w:rsid w:val="008D5CEF"/>
    <w:rsid w:val="008E0583"/>
    <w:rsid w:val="008E081C"/>
    <w:rsid w:val="008F3962"/>
    <w:rsid w:val="00911C0C"/>
    <w:rsid w:val="00924B74"/>
    <w:rsid w:val="009275C3"/>
    <w:rsid w:val="00927A71"/>
    <w:rsid w:val="009331AA"/>
    <w:rsid w:val="00942E04"/>
    <w:rsid w:val="00944DFB"/>
    <w:rsid w:val="00945A04"/>
    <w:rsid w:val="00955309"/>
    <w:rsid w:val="009572AB"/>
    <w:rsid w:val="00970D6D"/>
    <w:rsid w:val="009834E2"/>
    <w:rsid w:val="009A3F50"/>
    <w:rsid w:val="009B14D5"/>
    <w:rsid w:val="009C621E"/>
    <w:rsid w:val="009D3CAF"/>
    <w:rsid w:val="00A15268"/>
    <w:rsid w:val="00A24606"/>
    <w:rsid w:val="00A24775"/>
    <w:rsid w:val="00A43814"/>
    <w:rsid w:val="00A4512D"/>
    <w:rsid w:val="00A45BC8"/>
    <w:rsid w:val="00A536E8"/>
    <w:rsid w:val="00A56B14"/>
    <w:rsid w:val="00A57029"/>
    <w:rsid w:val="00A6070D"/>
    <w:rsid w:val="00A705AF"/>
    <w:rsid w:val="00AB102A"/>
    <w:rsid w:val="00AC6F7A"/>
    <w:rsid w:val="00AD0BE4"/>
    <w:rsid w:val="00AD1CD6"/>
    <w:rsid w:val="00AD3A91"/>
    <w:rsid w:val="00AF38EB"/>
    <w:rsid w:val="00AF798B"/>
    <w:rsid w:val="00B06089"/>
    <w:rsid w:val="00B13265"/>
    <w:rsid w:val="00B24C0D"/>
    <w:rsid w:val="00B42851"/>
    <w:rsid w:val="00B5022B"/>
    <w:rsid w:val="00B5268F"/>
    <w:rsid w:val="00B83B32"/>
    <w:rsid w:val="00B8429C"/>
    <w:rsid w:val="00BD6234"/>
    <w:rsid w:val="00BE6F8F"/>
    <w:rsid w:val="00C03301"/>
    <w:rsid w:val="00C41FA2"/>
    <w:rsid w:val="00C53869"/>
    <w:rsid w:val="00C549D1"/>
    <w:rsid w:val="00C6330A"/>
    <w:rsid w:val="00C84175"/>
    <w:rsid w:val="00CA1B72"/>
    <w:rsid w:val="00CB5B1A"/>
    <w:rsid w:val="00CB6094"/>
    <w:rsid w:val="00CB6145"/>
    <w:rsid w:val="00CB70AA"/>
    <w:rsid w:val="00CF536F"/>
    <w:rsid w:val="00D0270E"/>
    <w:rsid w:val="00D14831"/>
    <w:rsid w:val="00D15DF1"/>
    <w:rsid w:val="00D471CF"/>
    <w:rsid w:val="00D53109"/>
    <w:rsid w:val="00D66381"/>
    <w:rsid w:val="00D77A10"/>
    <w:rsid w:val="00D87BAA"/>
    <w:rsid w:val="00D9503A"/>
    <w:rsid w:val="00DB3823"/>
    <w:rsid w:val="00DD0052"/>
    <w:rsid w:val="00DD47C6"/>
    <w:rsid w:val="00DF189B"/>
    <w:rsid w:val="00DF6B0E"/>
    <w:rsid w:val="00E0655C"/>
    <w:rsid w:val="00E07917"/>
    <w:rsid w:val="00E15715"/>
    <w:rsid w:val="00E609DB"/>
    <w:rsid w:val="00E62CB4"/>
    <w:rsid w:val="00E7171B"/>
    <w:rsid w:val="00E86796"/>
    <w:rsid w:val="00E9729F"/>
    <w:rsid w:val="00EA1A97"/>
    <w:rsid w:val="00EB6A7A"/>
    <w:rsid w:val="00EC4032"/>
    <w:rsid w:val="00F41003"/>
    <w:rsid w:val="00F4136D"/>
    <w:rsid w:val="00F47396"/>
    <w:rsid w:val="00F56AE4"/>
    <w:rsid w:val="00F735B2"/>
    <w:rsid w:val="00FA08F8"/>
    <w:rsid w:val="00FB4582"/>
    <w:rsid w:val="00FB6376"/>
    <w:rsid w:val="00FE56E8"/>
    <w:rsid w:val="00FE6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70739"/>
  <w15:docId w15:val="{C7C01663-B24D-4483-B882-79BD4E54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607DF1"/>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42E04"/>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customStyle="1" w:styleId="QRGheadergood">
    <w:name w:val="QRG header good"/>
    <w:basedOn w:val="Header"/>
    <w:autoRedefine/>
    <w:qFormat/>
    <w:rsid w:val="000767A1"/>
    <w:rPr>
      <w:noProof/>
      <w:lang w:eastAsia="en-AU"/>
    </w:rPr>
  </w:style>
  <w:style w:type="character" w:styleId="CommentReference">
    <w:name w:val="annotation reference"/>
    <w:basedOn w:val="DefaultParagraphFont"/>
    <w:semiHidden/>
    <w:unhideWhenUsed/>
    <w:rsid w:val="00A24775"/>
    <w:rPr>
      <w:sz w:val="16"/>
      <w:szCs w:val="16"/>
    </w:rPr>
  </w:style>
  <w:style w:type="paragraph" w:styleId="CommentText">
    <w:name w:val="annotation text"/>
    <w:basedOn w:val="Normal"/>
    <w:link w:val="CommentTextChar"/>
    <w:semiHidden/>
    <w:unhideWhenUsed/>
    <w:rsid w:val="00A24775"/>
    <w:rPr>
      <w:sz w:val="20"/>
      <w:szCs w:val="20"/>
    </w:rPr>
  </w:style>
  <w:style w:type="character" w:customStyle="1" w:styleId="CommentTextChar">
    <w:name w:val="Comment Text Char"/>
    <w:basedOn w:val="DefaultParagraphFont"/>
    <w:link w:val="CommentText"/>
    <w:semiHidden/>
    <w:rsid w:val="00A24775"/>
    <w:rPr>
      <w:rFonts w:ascii="Tahoma" w:hAnsi="Tahoma"/>
      <w:lang w:eastAsia="en-US"/>
    </w:rPr>
  </w:style>
  <w:style w:type="paragraph" w:styleId="CommentSubject">
    <w:name w:val="annotation subject"/>
    <w:basedOn w:val="CommentText"/>
    <w:next w:val="CommentText"/>
    <w:link w:val="CommentSubjectChar"/>
    <w:semiHidden/>
    <w:unhideWhenUsed/>
    <w:rsid w:val="00A24775"/>
    <w:rPr>
      <w:b/>
      <w:bCs/>
    </w:rPr>
  </w:style>
  <w:style w:type="character" w:customStyle="1" w:styleId="CommentSubjectChar">
    <w:name w:val="Comment Subject Char"/>
    <w:basedOn w:val="CommentTextChar"/>
    <w:link w:val="CommentSubject"/>
    <w:semiHidden/>
    <w:rsid w:val="00A24775"/>
    <w:rPr>
      <w:rFonts w:ascii="Tahoma" w:hAnsi="Tahoma"/>
      <w:b/>
      <w:bCs/>
      <w:lang w:eastAsia="en-US"/>
    </w:rPr>
  </w:style>
  <w:style w:type="character" w:styleId="Hyperlink">
    <w:name w:val="Hyperlink"/>
    <w:basedOn w:val="DefaultParagraphFont"/>
    <w:unhideWhenUsed/>
    <w:rsid w:val="00092FBC"/>
    <w:rPr>
      <w:color w:val="0000FF" w:themeColor="hyperlink"/>
      <w:u w:val="single"/>
    </w:rPr>
  </w:style>
  <w:style w:type="character" w:styleId="FollowedHyperlink">
    <w:name w:val="FollowedHyperlink"/>
    <w:basedOn w:val="DefaultParagraphFont"/>
    <w:semiHidden/>
    <w:unhideWhenUsed/>
    <w:rsid w:val="00E0655C"/>
    <w:rPr>
      <w:color w:val="800080" w:themeColor="followedHyperlink"/>
      <w:u w:val="single"/>
    </w:rPr>
  </w:style>
  <w:style w:type="character" w:styleId="UnresolvedMention">
    <w:name w:val="Unresolved Mention"/>
    <w:basedOn w:val="DefaultParagraphFont"/>
    <w:uiPriority w:val="99"/>
    <w:semiHidden/>
    <w:unhideWhenUsed/>
    <w:rsid w:val="006C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621">
      <w:bodyDiv w:val="1"/>
      <w:marLeft w:val="0"/>
      <w:marRight w:val="0"/>
      <w:marTop w:val="0"/>
      <w:marBottom w:val="0"/>
      <w:divBdr>
        <w:top w:val="none" w:sz="0" w:space="0" w:color="auto"/>
        <w:left w:val="none" w:sz="0" w:space="0" w:color="auto"/>
        <w:bottom w:val="none" w:sz="0" w:space="0" w:color="auto"/>
        <w:right w:val="none" w:sz="0" w:space="0" w:color="auto"/>
      </w:divBdr>
    </w:div>
    <w:div w:id="200091350">
      <w:bodyDiv w:val="1"/>
      <w:marLeft w:val="0"/>
      <w:marRight w:val="0"/>
      <w:marTop w:val="0"/>
      <w:marBottom w:val="0"/>
      <w:divBdr>
        <w:top w:val="none" w:sz="0" w:space="0" w:color="auto"/>
        <w:left w:val="none" w:sz="0" w:space="0" w:color="auto"/>
        <w:bottom w:val="none" w:sz="0" w:space="0" w:color="auto"/>
        <w:right w:val="none" w:sz="0" w:space="0" w:color="auto"/>
      </w:divBdr>
    </w:div>
    <w:div w:id="618025597">
      <w:bodyDiv w:val="1"/>
      <w:marLeft w:val="0"/>
      <w:marRight w:val="0"/>
      <w:marTop w:val="0"/>
      <w:marBottom w:val="0"/>
      <w:divBdr>
        <w:top w:val="none" w:sz="0" w:space="0" w:color="auto"/>
        <w:left w:val="none" w:sz="0" w:space="0" w:color="auto"/>
        <w:bottom w:val="none" w:sz="0" w:space="0" w:color="auto"/>
        <w:right w:val="none" w:sz="0" w:space="0" w:color="auto"/>
      </w:divBdr>
    </w:div>
    <w:div w:id="1044720177">
      <w:bodyDiv w:val="1"/>
      <w:marLeft w:val="0"/>
      <w:marRight w:val="0"/>
      <w:marTop w:val="0"/>
      <w:marBottom w:val="0"/>
      <w:divBdr>
        <w:top w:val="none" w:sz="0" w:space="0" w:color="auto"/>
        <w:left w:val="none" w:sz="0" w:space="0" w:color="auto"/>
        <w:bottom w:val="none" w:sz="0" w:space="0" w:color="auto"/>
        <w:right w:val="none" w:sz="0" w:space="0" w:color="auto"/>
      </w:divBdr>
    </w:div>
    <w:div w:id="1490751688">
      <w:bodyDiv w:val="1"/>
      <w:marLeft w:val="0"/>
      <w:marRight w:val="0"/>
      <w:marTop w:val="0"/>
      <w:marBottom w:val="0"/>
      <w:divBdr>
        <w:top w:val="none" w:sz="0" w:space="0" w:color="auto"/>
        <w:left w:val="none" w:sz="0" w:space="0" w:color="auto"/>
        <w:bottom w:val="none" w:sz="0" w:space="0" w:color="auto"/>
        <w:right w:val="none" w:sz="0" w:space="0" w:color="auto"/>
      </w:divBdr>
    </w:div>
    <w:div w:id="21200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b.bpsoftware.net/au/bppremier/indigo/Content/PDFs/Guides/BpPremier_nKPIUser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softwar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igenousreporting@health.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60FE-98AA-41C2-B70A-009624D6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Annex 4.5 Quick Reference Guide Version 1.0</vt:lpstr>
    </vt:vector>
  </TitlesOfParts>
  <Company>Department of Immigration and Border Protection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Security Token Tip Sheet</dc:title>
  <dc:creator>Joel Dennerley</dc:creator>
  <cp:lastModifiedBy>DUNN, Stuart</cp:lastModifiedBy>
  <cp:revision>8</cp:revision>
  <cp:lastPrinted>2018-07-24T00:15:00Z</cp:lastPrinted>
  <dcterms:created xsi:type="dcterms:W3CDTF">2019-01-09T23:39:00Z</dcterms:created>
  <dcterms:modified xsi:type="dcterms:W3CDTF">2023-10-20T05:01:00Z</dcterms:modified>
</cp:coreProperties>
</file>