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643DF" w14:textId="77777777" w:rsidR="00D14831" w:rsidRPr="00665D42" w:rsidRDefault="007709C2" w:rsidP="00942E04">
      <w:pPr>
        <w:pStyle w:val="QRGHeading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A16DC1" wp14:editId="4F8D8496">
                <wp:simplePos x="0" y="0"/>
                <wp:positionH relativeFrom="column">
                  <wp:posOffset>2897505</wp:posOffset>
                </wp:positionH>
                <wp:positionV relativeFrom="paragraph">
                  <wp:posOffset>-1012825</wp:posOffset>
                </wp:positionV>
                <wp:extent cx="4147820" cy="817245"/>
                <wp:effectExtent l="0" t="0" r="0" b="1905"/>
                <wp:wrapNone/>
                <wp:docPr id="307" name="Text Box 30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7820" cy="817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17ABB" w14:textId="520D2CEC" w:rsidR="007709C2" w:rsidRPr="00984ADD" w:rsidRDefault="009B6F9D" w:rsidP="007709C2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>Get</w:t>
                            </w:r>
                            <w:r w:rsidR="0072240C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 xml:space="preserve"> Started with </w:t>
                            </w:r>
                            <w:r w:rsidR="00A10845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 xml:space="preserve">the QLIK </w:t>
                            </w:r>
                            <w:r w:rsidR="00B015FC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 xml:space="preserve">Health Service </w:t>
                            </w:r>
                            <w:r w:rsidR="00D76C3E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>nKPI and OSR</w:t>
                            </w:r>
                            <w:r w:rsidR="00B015FC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 xml:space="preserve"> Report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16DC1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alt="&quot;&quot;" style="position:absolute;margin-left:228.15pt;margin-top:-79.75pt;width:326.6pt;height:6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" filled="f" stroked="f">
                <v:textbox>
                  <w:txbxContent>
                    <w:p w14:paraId="3E517ABB" w14:textId="520D2CEC" w:rsidR="007709C2" w:rsidRPr="00984ADD" w:rsidRDefault="009B6F9D" w:rsidP="007709C2">
                      <w:pPr>
                        <w:jc w:val="center"/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>Get</w:t>
                      </w:r>
                      <w:r w:rsidR="0072240C"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 xml:space="preserve"> Started with </w:t>
                      </w:r>
                      <w:r w:rsidR="00A10845"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 xml:space="preserve">the QLIK </w:t>
                      </w:r>
                      <w:r w:rsidR="00B015FC"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 xml:space="preserve">Health Service </w:t>
                      </w:r>
                      <w:r w:rsidR="00D76C3E"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>nKPI and OSR</w:t>
                      </w:r>
                      <w:r w:rsidR="00B015FC"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 xml:space="preserve"> Report </w:t>
                      </w:r>
                    </w:p>
                  </w:txbxContent>
                </v:textbox>
              </v:shape>
            </w:pict>
          </mc:Fallback>
        </mc:AlternateContent>
      </w:r>
      <w:r>
        <w:t>Overview</w:t>
      </w:r>
    </w:p>
    <w:p w14:paraId="2FA6C3F0" w14:textId="19C9A344" w:rsidR="00FB4582" w:rsidRDefault="00A10845" w:rsidP="001D68A7">
      <w:pPr>
        <w:pStyle w:val="QRGText"/>
      </w:pPr>
      <w:r>
        <w:t xml:space="preserve">The </w:t>
      </w:r>
      <w:r w:rsidR="008215DE" w:rsidRPr="00A10845">
        <w:rPr>
          <w:i/>
        </w:rPr>
        <w:t>QLIK</w:t>
      </w:r>
      <w:r w:rsidR="00C0003D" w:rsidRPr="00A10845">
        <w:rPr>
          <w:i/>
        </w:rPr>
        <w:t xml:space="preserve"> </w:t>
      </w:r>
      <w:r w:rsidR="00B015FC">
        <w:rPr>
          <w:i/>
        </w:rPr>
        <w:t xml:space="preserve">Health Service nKPI </w:t>
      </w:r>
      <w:r w:rsidR="00D76C3E">
        <w:rPr>
          <w:i/>
        </w:rPr>
        <w:t xml:space="preserve">and OSR </w:t>
      </w:r>
      <w:r w:rsidR="00B015FC">
        <w:rPr>
          <w:i/>
        </w:rPr>
        <w:t>Report</w:t>
      </w:r>
      <w:r w:rsidRPr="00A10845">
        <w:rPr>
          <w:i/>
        </w:rPr>
        <w:t xml:space="preserve"> </w:t>
      </w:r>
      <w:r w:rsidR="008215DE">
        <w:t>provide</w:t>
      </w:r>
      <w:r>
        <w:t>s</w:t>
      </w:r>
      <w:r w:rsidR="008215DE">
        <w:t xml:space="preserve"> access to </w:t>
      </w:r>
      <w:r>
        <w:t>reports</w:t>
      </w:r>
      <w:r w:rsidR="007111DC">
        <w:t xml:space="preserve"> that allow</w:t>
      </w:r>
      <w:r w:rsidR="008215DE">
        <w:t xml:space="preserve"> </w:t>
      </w:r>
      <w:r w:rsidR="00E3188A">
        <w:t>you</w:t>
      </w:r>
      <w:r w:rsidR="008215DE">
        <w:t xml:space="preserve"> to view trends and patterns in </w:t>
      </w:r>
      <w:r w:rsidR="00E3188A">
        <w:t xml:space="preserve">your </w:t>
      </w:r>
      <w:r w:rsidR="00891B85">
        <w:t>h</w:t>
      </w:r>
      <w:r w:rsidR="00E3188A">
        <w:t xml:space="preserve">ealth </w:t>
      </w:r>
      <w:r w:rsidR="00891B85">
        <w:t>s</w:t>
      </w:r>
      <w:r w:rsidR="00E3188A">
        <w:t>ervice’s</w:t>
      </w:r>
      <w:r w:rsidR="008215DE">
        <w:t xml:space="preserve"> data and compare </w:t>
      </w:r>
      <w:r w:rsidR="00E3188A">
        <w:t>your</w:t>
      </w:r>
      <w:r w:rsidR="007111DC">
        <w:t xml:space="preserve"> data</w:t>
      </w:r>
      <w:r w:rsidR="008215DE">
        <w:t xml:space="preserve"> with </w:t>
      </w:r>
      <w:r w:rsidR="007111DC">
        <w:t xml:space="preserve">that of other similar </w:t>
      </w:r>
      <w:r w:rsidR="00891B85">
        <w:t>h</w:t>
      </w:r>
      <w:r w:rsidR="00E3188A">
        <w:t xml:space="preserve">ealth </w:t>
      </w:r>
      <w:r w:rsidR="00891B85">
        <w:t>s</w:t>
      </w:r>
      <w:r w:rsidR="00E3188A">
        <w:t>ervices</w:t>
      </w:r>
      <w:r w:rsidR="008215DE">
        <w:t xml:space="preserve">. </w:t>
      </w:r>
    </w:p>
    <w:p w14:paraId="2BB7A6D4" w14:textId="198FC7EA" w:rsidR="008215DE" w:rsidRDefault="008215DE" w:rsidP="001D68A7">
      <w:pPr>
        <w:pStyle w:val="QRGText"/>
      </w:pPr>
      <w:r>
        <w:t xml:space="preserve">When </w:t>
      </w:r>
      <w:r w:rsidR="00E3188A">
        <w:t xml:space="preserve">your </w:t>
      </w:r>
      <w:r w:rsidR="00891B85">
        <w:t>h</w:t>
      </w:r>
      <w:r w:rsidR="00E3188A">
        <w:t xml:space="preserve">ealth </w:t>
      </w:r>
      <w:r w:rsidR="00891B85">
        <w:t>s</w:t>
      </w:r>
      <w:r w:rsidR="00E3188A">
        <w:t xml:space="preserve">ervice </w:t>
      </w:r>
      <w:r>
        <w:t>submit</w:t>
      </w:r>
      <w:r w:rsidR="00E3188A">
        <w:t>s</w:t>
      </w:r>
      <w:r>
        <w:t xml:space="preserve"> data assets</w:t>
      </w:r>
      <w:r w:rsidR="009B6F9D">
        <w:t xml:space="preserve"> in the </w:t>
      </w:r>
      <w:r w:rsidR="007111DC">
        <w:t xml:space="preserve">Health Data </w:t>
      </w:r>
      <w:r w:rsidR="009B6F9D">
        <w:t>Portal</w:t>
      </w:r>
      <w:r>
        <w:t>, the contents of these data asset</w:t>
      </w:r>
      <w:r w:rsidR="007709C2">
        <w:t>s</w:t>
      </w:r>
      <w:r>
        <w:t xml:space="preserve"> can be </w:t>
      </w:r>
      <w:r w:rsidR="009B6F9D">
        <w:t>viewed</w:t>
      </w:r>
      <w:r>
        <w:t xml:space="preserve"> </w:t>
      </w:r>
      <w:r w:rsidR="009B6F9D">
        <w:t>as</w:t>
      </w:r>
      <w:r>
        <w:t xml:space="preserve"> interactive </w:t>
      </w:r>
      <w:r w:rsidR="00A10845">
        <w:t>sheets</w:t>
      </w:r>
      <w:r>
        <w:t xml:space="preserve"> </w:t>
      </w:r>
      <w:r w:rsidR="009B6F9D">
        <w:t xml:space="preserve">in </w:t>
      </w:r>
      <w:r>
        <w:t xml:space="preserve">QLIK. </w:t>
      </w:r>
      <w:r w:rsidR="007111DC">
        <w:t xml:space="preserve">QLIK is accessed through the </w:t>
      </w:r>
      <w:r w:rsidR="00CA5F89">
        <w:t xml:space="preserve">Data </w:t>
      </w:r>
      <w:r w:rsidR="007111DC">
        <w:t xml:space="preserve">Portal using the </w:t>
      </w:r>
      <w:r w:rsidR="007111DC" w:rsidRPr="007111DC">
        <w:rPr>
          <w:i/>
        </w:rPr>
        <w:t>Interactive Report Viewer</w:t>
      </w:r>
      <w:r w:rsidR="007111DC">
        <w:t xml:space="preserve"> role.</w:t>
      </w:r>
    </w:p>
    <w:p w14:paraId="3F87E849" w14:textId="77777777" w:rsidR="000715CC" w:rsidRDefault="000715CC" w:rsidP="001D68A7">
      <w:pPr>
        <w:pStyle w:val="QRGText"/>
      </w:pPr>
      <w:r>
        <w:rPr>
          <w:noProof/>
          <w:lang w:eastAsia="en-AU"/>
        </w:rPr>
        <w:drawing>
          <wp:inline distT="0" distB="0" distL="0" distR="0" wp14:anchorId="33556506" wp14:editId="6E116AB9">
            <wp:extent cx="252000" cy="252000"/>
            <wp:effectExtent l="0" t="0" r="0" b="0"/>
            <wp:docPr id="38" name="Picture 38" title="N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PMKeyS_icon_ale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To access QLIK, you need to have been </w:t>
      </w:r>
      <w:r w:rsidR="0062072E">
        <w:t xml:space="preserve">given the appropriate role </w:t>
      </w:r>
      <w:r w:rsidR="00E3188A">
        <w:t xml:space="preserve">in the Data Portal </w:t>
      </w:r>
      <w:r>
        <w:t xml:space="preserve">by </w:t>
      </w:r>
      <w:r w:rsidR="00F1340C">
        <w:t xml:space="preserve">your Data Portal </w:t>
      </w:r>
      <w:r w:rsidR="00F1340C" w:rsidRPr="00F1340C">
        <w:rPr>
          <w:i/>
        </w:rPr>
        <w:t>User Administrator</w:t>
      </w:r>
      <w:r>
        <w:t>.</w:t>
      </w:r>
    </w:p>
    <w:p w14:paraId="5BE7071E" w14:textId="1B187991" w:rsidR="008215DE" w:rsidRPr="008215DE" w:rsidRDefault="00A10845" w:rsidP="008215DE">
      <w:pPr>
        <w:pStyle w:val="QRGHeading"/>
      </w:pPr>
      <w:r>
        <w:t>Access</w:t>
      </w:r>
      <w:r w:rsidR="008215DE">
        <w:t xml:space="preserve"> </w:t>
      </w:r>
      <w:r>
        <w:t xml:space="preserve">the </w:t>
      </w:r>
      <w:r w:rsidR="008215DE">
        <w:t>Q</w:t>
      </w:r>
      <w:r w:rsidR="00D76C3E">
        <w:t>lik</w:t>
      </w:r>
      <w:r w:rsidR="008215DE">
        <w:t xml:space="preserve"> </w:t>
      </w:r>
      <w:r w:rsidR="00B015FC">
        <w:t xml:space="preserve">Health Service nKPI </w:t>
      </w:r>
      <w:r w:rsidR="00D76C3E">
        <w:t xml:space="preserve">and OSR </w:t>
      </w:r>
      <w:r w:rsidR="00B015FC">
        <w:t xml:space="preserve">Report </w:t>
      </w:r>
      <w:r w:rsidR="008215DE">
        <w:t xml:space="preserve"> </w:t>
      </w:r>
    </w:p>
    <w:p w14:paraId="4908F87E" w14:textId="6B7B5743" w:rsidR="008215DE" w:rsidRDefault="008215DE" w:rsidP="001D68A7">
      <w:pPr>
        <w:pStyle w:val="QRGText"/>
      </w:pPr>
      <w:r>
        <w:t xml:space="preserve">To access the </w:t>
      </w:r>
      <w:r w:rsidR="005255F0" w:rsidRPr="00B015FC">
        <w:rPr>
          <w:i/>
          <w:iCs/>
        </w:rPr>
        <w:t xml:space="preserve">QLIK </w:t>
      </w:r>
      <w:r w:rsidR="00B015FC" w:rsidRPr="00B015FC">
        <w:rPr>
          <w:i/>
          <w:iCs/>
        </w:rPr>
        <w:t xml:space="preserve">Health Service nKPI </w:t>
      </w:r>
      <w:r w:rsidR="00D76C3E">
        <w:rPr>
          <w:i/>
          <w:iCs/>
        </w:rPr>
        <w:t xml:space="preserve">and OSR </w:t>
      </w:r>
      <w:r w:rsidR="00B015FC" w:rsidRPr="00B015FC">
        <w:rPr>
          <w:i/>
          <w:iCs/>
        </w:rPr>
        <w:t>Report</w:t>
      </w:r>
      <w:r w:rsidR="00B015FC">
        <w:t>:</w:t>
      </w:r>
    </w:p>
    <w:p w14:paraId="7831D781" w14:textId="4E892B41" w:rsidR="005255F0" w:rsidRDefault="007709C2" w:rsidP="005255F0">
      <w:pPr>
        <w:pStyle w:val="QRGNumbering1"/>
      </w:pPr>
      <w:r>
        <w:t>Navigate to the Data P</w:t>
      </w:r>
      <w:r w:rsidR="007111DC">
        <w:t xml:space="preserve">ortal </w:t>
      </w:r>
      <w:r w:rsidR="00D54EBD">
        <w:t>h</w:t>
      </w:r>
      <w:r w:rsidR="00EC31BE">
        <w:t xml:space="preserve">ome screen. </w:t>
      </w:r>
    </w:p>
    <w:p w14:paraId="2B2578FC" w14:textId="77777777" w:rsidR="00EC31BE" w:rsidRDefault="007111DC" w:rsidP="00EC31BE">
      <w:pPr>
        <w:pStyle w:val="QRGNumbering1"/>
      </w:pPr>
      <w:r>
        <w:t>To continue, s</w:t>
      </w:r>
      <w:r w:rsidR="00EC31BE">
        <w:t xml:space="preserve">elect </w:t>
      </w:r>
      <w:r w:rsidR="00775612" w:rsidRPr="00775612">
        <w:rPr>
          <w:b/>
          <w:noProof/>
          <w:lang w:eastAsia="en-AU"/>
        </w:rPr>
        <w:t>Reports &gt; Interactive Reports</w:t>
      </w:r>
      <w:r w:rsidR="00775612">
        <w:t xml:space="preserve"> on the menu bar</w:t>
      </w:r>
      <w:r w:rsidR="00EC31BE">
        <w:t>.</w:t>
      </w:r>
    </w:p>
    <w:p w14:paraId="579F1E9B" w14:textId="77777777" w:rsidR="00123E4A" w:rsidRDefault="00123E4A" w:rsidP="00EC31BE">
      <w:pPr>
        <w:pStyle w:val="QRGNumbering1"/>
      </w:pPr>
      <w:r>
        <w:t xml:space="preserve">On the left-hand side of the screen that displays, select </w:t>
      </w:r>
      <w:r w:rsidRPr="00123E4A">
        <w:rPr>
          <w:b/>
        </w:rPr>
        <w:t>Indigenous Health</w:t>
      </w:r>
      <w:r>
        <w:t>.</w:t>
      </w:r>
    </w:p>
    <w:p w14:paraId="0E660FF5" w14:textId="1912C21C" w:rsidR="00123E4A" w:rsidRDefault="00123E4A" w:rsidP="00EC31BE">
      <w:pPr>
        <w:pStyle w:val="QRGNumbering1"/>
      </w:pPr>
      <w:r>
        <w:t xml:space="preserve">On the right-hand side of the screen that displays, select the top half of the </w:t>
      </w:r>
      <w:r w:rsidR="00AE7924">
        <w:t xml:space="preserve">IHD </w:t>
      </w:r>
      <w:r w:rsidR="00B015FC">
        <w:rPr>
          <w:b/>
        </w:rPr>
        <w:t>Health Service nKPI Report</w:t>
      </w:r>
      <w:r>
        <w:rPr>
          <w:b/>
        </w:rPr>
        <w:t xml:space="preserve"> </w:t>
      </w:r>
      <w:r>
        <w:t>app</w:t>
      </w:r>
      <w:r w:rsidRPr="00123E4A">
        <w:t>.</w:t>
      </w:r>
    </w:p>
    <w:p w14:paraId="7C7ECFD7" w14:textId="34AABB10" w:rsidR="00A6070D" w:rsidRDefault="00EC31BE" w:rsidP="00EC31BE">
      <w:pPr>
        <w:pStyle w:val="QRGText"/>
      </w:pPr>
      <w:r>
        <w:t xml:space="preserve">The </w:t>
      </w:r>
      <w:r w:rsidR="00B015FC">
        <w:t xml:space="preserve">Health Service nKPI </w:t>
      </w:r>
      <w:r w:rsidR="00D76C3E">
        <w:t xml:space="preserve">and OSR </w:t>
      </w:r>
      <w:r w:rsidR="00B015FC">
        <w:t xml:space="preserve">Report </w:t>
      </w:r>
      <w:r>
        <w:t xml:space="preserve">screen will display. </w:t>
      </w:r>
    </w:p>
    <w:p w14:paraId="27F860E5" w14:textId="229DA557" w:rsidR="008215DE" w:rsidRDefault="00C0003D" w:rsidP="008215DE">
      <w:pPr>
        <w:pStyle w:val="QRGHeading"/>
        <w:rPr>
          <w:lang w:eastAsia="en-AU"/>
        </w:rPr>
      </w:pPr>
      <w:r>
        <w:rPr>
          <w:lang w:eastAsia="en-AU"/>
        </w:rPr>
        <w:t xml:space="preserve">The </w:t>
      </w:r>
      <w:r w:rsidR="00B015FC">
        <w:rPr>
          <w:lang w:eastAsia="en-AU"/>
        </w:rPr>
        <w:t xml:space="preserve">Health Service nKPI </w:t>
      </w:r>
      <w:r w:rsidR="00D76C3E">
        <w:rPr>
          <w:lang w:eastAsia="en-AU"/>
        </w:rPr>
        <w:t xml:space="preserve">and OSR </w:t>
      </w:r>
      <w:r w:rsidR="00B015FC">
        <w:rPr>
          <w:lang w:eastAsia="en-AU"/>
        </w:rPr>
        <w:t>Report</w:t>
      </w:r>
      <w:r>
        <w:rPr>
          <w:lang w:eastAsia="en-AU"/>
        </w:rPr>
        <w:t xml:space="preserve"> screen</w:t>
      </w:r>
    </w:p>
    <w:p w14:paraId="6AA9D7B3" w14:textId="61384A99" w:rsidR="00AE7924" w:rsidRPr="00AE7924" w:rsidRDefault="00AE7924" w:rsidP="00AE7924">
      <w:pPr>
        <w:pStyle w:val="QRGPictureCentre"/>
      </w:pPr>
      <w:r>
        <w:drawing>
          <wp:inline distT="0" distB="0" distL="0" distR="0" wp14:anchorId="51B8619B" wp14:editId="4B913E05">
            <wp:extent cx="3095625" cy="1133475"/>
            <wp:effectExtent l="19050" t="19050" r="28575" b="28575"/>
            <wp:docPr id="4" name="Picture 4" descr="picture of the IHD Health Service nKPI Report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picture of the IHD Health Service nKPI Report scre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133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9CFA219" w14:textId="04C91CC7" w:rsidR="00C0003D" w:rsidRDefault="00C0003D" w:rsidP="00C0003D">
      <w:pPr>
        <w:pStyle w:val="QRGText"/>
      </w:pPr>
      <w:r>
        <w:t xml:space="preserve">The </w:t>
      </w:r>
      <w:r w:rsidR="00B015FC">
        <w:rPr>
          <w:i/>
        </w:rPr>
        <w:t xml:space="preserve">Health Service nKPI </w:t>
      </w:r>
      <w:r w:rsidR="00D76C3E">
        <w:rPr>
          <w:i/>
        </w:rPr>
        <w:t xml:space="preserve">and OSR </w:t>
      </w:r>
      <w:r w:rsidR="00B015FC">
        <w:rPr>
          <w:i/>
        </w:rPr>
        <w:t>Report</w:t>
      </w:r>
      <w:r>
        <w:t xml:space="preserve"> screen is the launch screen from where you can access</w:t>
      </w:r>
      <w:r w:rsidR="0020471D">
        <w:t xml:space="preserve"> your </w:t>
      </w:r>
      <w:r w:rsidR="0020471D" w:rsidRPr="0020471D">
        <w:rPr>
          <w:i/>
          <w:iCs/>
        </w:rPr>
        <w:t>Executive Summary</w:t>
      </w:r>
      <w:r w:rsidR="0020471D">
        <w:t xml:space="preserve"> and Closing the Gap Target #2 sheets,</w:t>
      </w:r>
      <w:r>
        <w:t xml:space="preserve"> all </w:t>
      </w:r>
      <w:r w:rsidR="0020471D">
        <w:t xml:space="preserve">your </w:t>
      </w:r>
      <w:r w:rsidR="00A10845">
        <w:t>nKPI</w:t>
      </w:r>
      <w:r>
        <w:t xml:space="preserve"> summary and individual indicator </w:t>
      </w:r>
      <w:r w:rsidR="00A10845">
        <w:t>sheets</w:t>
      </w:r>
      <w:r>
        <w:t>, as well</w:t>
      </w:r>
      <w:r w:rsidR="002C781F">
        <w:t xml:space="preserve"> as</w:t>
      </w:r>
      <w:r>
        <w:t xml:space="preserve"> the </w:t>
      </w:r>
      <w:r w:rsidRPr="00C0003D">
        <w:rPr>
          <w:i/>
        </w:rPr>
        <w:t>Health Service</w:t>
      </w:r>
      <w:r>
        <w:t xml:space="preserve"> and </w:t>
      </w:r>
      <w:r w:rsidRPr="00C0003D">
        <w:rPr>
          <w:i/>
        </w:rPr>
        <w:t>Comparison Group</w:t>
      </w:r>
      <w:r>
        <w:t xml:space="preserve"> </w:t>
      </w:r>
      <w:r w:rsidRPr="00C0003D">
        <w:rPr>
          <w:i/>
        </w:rPr>
        <w:t>Data Export</w:t>
      </w:r>
      <w:r>
        <w:t xml:space="preserve"> </w:t>
      </w:r>
      <w:r w:rsidR="00A10845">
        <w:t>sheets</w:t>
      </w:r>
      <w:r w:rsidR="00E42A6B">
        <w:t xml:space="preserve"> and the </w:t>
      </w:r>
      <w:r w:rsidR="00E42A6B" w:rsidRPr="00E42A6B">
        <w:rPr>
          <w:i/>
          <w:iCs/>
        </w:rPr>
        <w:t>Online Services Report</w:t>
      </w:r>
      <w:r w:rsidR="00E42A6B">
        <w:t xml:space="preserve"> sheet</w:t>
      </w:r>
      <w:r>
        <w:t>.</w:t>
      </w:r>
    </w:p>
    <w:p w14:paraId="0D8A801D" w14:textId="7924DD2C" w:rsidR="00C0003D" w:rsidRDefault="00C0003D" w:rsidP="00C0003D">
      <w:pPr>
        <w:pStyle w:val="QRGNumbering1"/>
        <w:numPr>
          <w:ilvl w:val="0"/>
          <w:numId w:val="25"/>
        </w:numPr>
      </w:pPr>
      <w:r>
        <w:t xml:space="preserve">To access a particular </w:t>
      </w:r>
      <w:r w:rsidR="00A10845">
        <w:t>sheet</w:t>
      </w:r>
      <w:r>
        <w:t xml:space="preserve"> from the </w:t>
      </w:r>
      <w:r w:rsidR="00B015FC">
        <w:rPr>
          <w:i/>
        </w:rPr>
        <w:t xml:space="preserve">Health Service nKPI </w:t>
      </w:r>
      <w:r w:rsidR="00D76C3E">
        <w:rPr>
          <w:i/>
        </w:rPr>
        <w:t xml:space="preserve">and OSR </w:t>
      </w:r>
      <w:r w:rsidR="00B015FC">
        <w:rPr>
          <w:i/>
        </w:rPr>
        <w:t>Report</w:t>
      </w:r>
      <w:r w:rsidR="00B015FC">
        <w:t xml:space="preserve"> </w:t>
      </w:r>
      <w:r w:rsidR="00B015FC">
        <w:t>screen</w:t>
      </w:r>
      <w:r>
        <w:t xml:space="preserve">, simply select the tile representing the required </w:t>
      </w:r>
      <w:r w:rsidR="00A10845">
        <w:t>sheet</w:t>
      </w:r>
      <w:r>
        <w:t>.</w:t>
      </w:r>
    </w:p>
    <w:p w14:paraId="156182A6" w14:textId="77777777" w:rsidR="00C0003D" w:rsidRDefault="00C0003D" w:rsidP="00C0003D">
      <w:pPr>
        <w:pStyle w:val="QRGHeading"/>
        <w:rPr>
          <w:lang w:eastAsia="en-AU"/>
        </w:rPr>
      </w:pPr>
      <w:r>
        <w:rPr>
          <w:lang w:eastAsia="en-AU"/>
        </w:rPr>
        <w:t xml:space="preserve">Getting started with QLIK </w:t>
      </w:r>
      <w:r w:rsidR="00A10845">
        <w:rPr>
          <w:lang w:eastAsia="en-AU"/>
        </w:rPr>
        <w:t>Sheets</w:t>
      </w:r>
    </w:p>
    <w:p w14:paraId="7E4A8DF8" w14:textId="25706A27" w:rsidR="000143D0" w:rsidRPr="000143D0" w:rsidRDefault="000143D0" w:rsidP="000143D0">
      <w:pPr>
        <w:pStyle w:val="QRGPictureCentre"/>
      </w:pPr>
      <w:r>
        <w:drawing>
          <wp:inline distT="0" distB="0" distL="0" distR="0" wp14:anchorId="64A50F24" wp14:editId="28D094B0">
            <wp:extent cx="3105785" cy="1341755"/>
            <wp:effectExtent l="0" t="0" r="0" b="0"/>
            <wp:docPr id="1" name="Picture 1" descr="picture of an individual indicator sheet with the four different sheet sections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icture of an individual indicator sheet with the four different sheet sections highligh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785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4FDE5" w14:textId="77777777" w:rsidR="00EC31BE" w:rsidRDefault="00123E4A" w:rsidP="00EC31BE">
      <w:pPr>
        <w:pStyle w:val="QRGText"/>
        <w:rPr>
          <w:lang w:eastAsia="en-AU"/>
        </w:rPr>
      </w:pPr>
      <w:r>
        <w:rPr>
          <w:lang w:eastAsia="en-AU"/>
        </w:rPr>
        <w:t xml:space="preserve">All QLIK </w:t>
      </w:r>
      <w:r w:rsidR="00A10845">
        <w:rPr>
          <w:lang w:eastAsia="en-AU"/>
        </w:rPr>
        <w:t>sheets</w:t>
      </w:r>
      <w:r>
        <w:rPr>
          <w:lang w:eastAsia="en-AU"/>
        </w:rPr>
        <w:t xml:space="preserve"> are </w:t>
      </w:r>
      <w:r w:rsidR="00EC31BE">
        <w:rPr>
          <w:lang w:eastAsia="en-AU"/>
        </w:rPr>
        <w:t xml:space="preserve">divided into </w:t>
      </w:r>
      <w:r w:rsidR="00F3759F">
        <w:rPr>
          <w:lang w:eastAsia="en-AU"/>
        </w:rPr>
        <w:t>four</w:t>
      </w:r>
      <w:r w:rsidR="00EC31BE">
        <w:rPr>
          <w:lang w:eastAsia="en-AU"/>
        </w:rPr>
        <w:t xml:space="preserve"> sections: </w:t>
      </w:r>
    </w:p>
    <w:p w14:paraId="64AD2650" w14:textId="77777777" w:rsidR="00EC31BE" w:rsidRDefault="00EC31BE" w:rsidP="00EC31BE">
      <w:pPr>
        <w:pStyle w:val="QRGNumbering1"/>
        <w:numPr>
          <w:ilvl w:val="0"/>
          <w:numId w:val="17"/>
        </w:numPr>
        <w:rPr>
          <w:lang w:eastAsia="en-AU"/>
        </w:rPr>
      </w:pPr>
      <w:r>
        <w:rPr>
          <w:lang w:eastAsia="en-AU"/>
        </w:rPr>
        <w:t xml:space="preserve">The </w:t>
      </w:r>
      <w:r w:rsidR="0062072E">
        <w:rPr>
          <w:lang w:eastAsia="en-AU"/>
        </w:rPr>
        <w:t>Menu Bar</w:t>
      </w:r>
    </w:p>
    <w:p w14:paraId="61A3A905" w14:textId="77777777" w:rsidR="00EC31BE" w:rsidRDefault="00BF7C92" w:rsidP="00EC31BE">
      <w:pPr>
        <w:pStyle w:val="QRGNumbering1"/>
        <w:numPr>
          <w:ilvl w:val="0"/>
          <w:numId w:val="17"/>
        </w:numPr>
        <w:rPr>
          <w:lang w:eastAsia="en-AU"/>
        </w:rPr>
      </w:pPr>
      <w:r>
        <w:rPr>
          <w:lang w:eastAsia="en-AU"/>
        </w:rPr>
        <w:t xml:space="preserve">The </w:t>
      </w:r>
      <w:r w:rsidR="00883AB8">
        <w:rPr>
          <w:lang w:eastAsia="en-AU"/>
        </w:rPr>
        <w:t>Selections Bar</w:t>
      </w:r>
      <w:r w:rsidR="00EC31BE">
        <w:rPr>
          <w:lang w:eastAsia="en-AU"/>
        </w:rPr>
        <w:t xml:space="preserve"> </w:t>
      </w:r>
    </w:p>
    <w:p w14:paraId="5E981C7A" w14:textId="77777777" w:rsidR="00EC31BE" w:rsidRDefault="00BF7C92" w:rsidP="00EC31BE">
      <w:pPr>
        <w:pStyle w:val="QRGNumbering1"/>
        <w:numPr>
          <w:ilvl w:val="0"/>
          <w:numId w:val="17"/>
        </w:numPr>
        <w:rPr>
          <w:lang w:eastAsia="en-AU"/>
        </w:rPr>
      </w:pPr>
      <w:r>
        <w:rPr>
          <w:lang w:eastAsia="en-AU"/>
        </w:rPr>
        <w:t xml:space="preserve">The </w:t>
      </w:r>
      <w:r w:rsidR="00883AB8">
        <w:rPr>
          <w:lang w:eastAsia="en-AU"/>
        </w:rPr>
        <w:t>Title Bar</w:t>
      </w:r>
    </w:p>
    <w:p w14:paraId="0C89513C" w14:textId="2C606234" w:rsidR="008215DE" w:rsidRDefault="00EC31BE" w:rsidP="00EC31BE">
      <w:pPr>
        <w:pStyle w:val="QRGNumbering1"/>
        <w:numPr>
          <w:ilvl w:val="0"/>
          <w:numId w:val="17"/>
        </w:numPr>
        <w:rPr>
          <w:lang w:eastAsia="en-AU"/>
        </w:rPr>
      </w:pPr>
      <w:r>
        <w:rPr>
          <w:lang w:eastAsia="en-AU"/>
        </w:rPr>
        <w:t>The Layout View</w:t>
      </w:r>
      <w:r w:rsidR="00B16C9A">
        <w:rPr>
          <w:lang w:eastAsia="en-AU"/>
        </w:rPr>
        <w:t>/Main window</w:t>
      </w:r>
      <w:r>
        <w:rPr>
          <w:lang w:eastAsia="en-AU"/>
        </w:rPr>
        <w:t xml:space="preserve">.  </w:t>
      </w:r>
    </w:p>
    <w:p w14:paraId="0AFE2744" w14:textId="77777777" w:rsidR="00EC31BE" w:rsidRDefault="00EC31BE" w:rsidP="00BB53A9">
      <w:pPr>
        <w:pStyle w:val="QRGSubHeading"/>
        <w:rPr>
          <w:lang w:eastAsia="en-AU"/>
        </w:rPr>
      </w:pPr>
      <w:r>
        <w:rPr>
          <w:lang w:eastAsia="en-AU"/>
        </w:rPr>
        <w:t xml:space="preserve">The </w:t>
      </w:r>
      <w:r w:rsidR="000715CC">
        <w:rPr>
          <w:lang w:eastAsia="en-AU"/>
        </w:rPr>
        <w:t>Menu Bar</w:t>
      </w:r>
      <w:r w:rsidR="00883AB8">
        <w:rPr>
          <w:lang w:eastAsia="en-AU"/>
        </w:rPr>
        <w:t xml:space="preserve"> (Top</w:t>
      </w:r>
      <w:r w:rsidR="00BB53A9">
        <w:rPr>
          <w:lang w:eastAsia="en-AU"/>
        </w:rPr>
        <w:t>)</w:t>
      </w:r>
    </w:p>
    <w:p w14:paraId="53352595" w14:textId="77777777" w:rsidR="00527708" w:rsidRDefault="00527708" w:rsidP="00527708">
      <w:pPr>
        <w:pStyle w:val="QRGText"/>
        <w:rPr>
          <w:lang w:eastAsia="en-AU"/>
        </w:rPr>
      </w:pPr>
      <w:r>
        <w:rPr>
          <w:lang w:eastAsia="en-AU"/>
        </w:rPr>
        <w:t xml:space="preserve">The </w:t>
      </w:r>
      <w:r w:rsidRPr="003E587E">
        <w:rPr>
          <w:i/>
          <w:lang w:eastAsia="en-AU"/>
        </w:rPr>
        <w:t>Menu Bar</w:t>
      </w:r>
      <w:r>
        <w:rPr>
          <w:lang w:eastAsia="en-AU"/>
        </w:rPr>
        <w:t xml:space="preserve"> enables </w:t>
      </w:r>
      <w:r w:rsidR="00B760CA">
        <w:rPr>
          <w:lang w:eastAsia="en-AU"/>
        </w:rPr>
        <w:t>you</w:t>
      </w:r>
      <w:r>
        <w:rPr>
          <w:lang w:eastAsia="en-AU"/>
        </w:rPr>
        <w:t xml:space="preserve"> to perform the following tasks in QLIK</w:t>
      </w:r>
      <w:r w:rsidR="000E5B87">
        <w:rPr>
          <w:lang w:eastAsia="en-AU"/>
        </w:rPr>
        <w:t xml:space="preserve"> (from left to right)</w:t>
      </w:r>
      <w:r>
        <w:rPr>
          <w:lang w:eastAsia="en-AU"/>
        </w:rPr>
        <w:t xml:space="preserve">: </w:t>
      </w:r>
    </w:p>
    <w:p w14:paraId="38EFA2B7" w14:textId="77777777" w:rsidR="00527708" w:rsidRDefault="00527708" w:rsidP="00527708">
      <w:pPr>
        <w:pStyle w:val="QRGText"/>
        <w:numPr>
          <w:ilvl w:val="0"/>
          <w:numId w:val="22"/>
        </w:numPr>
        <w:rPr>
          <w:lang w:eastAsia="en-AU"/>
        </w:rPr>
      </w:pPr>
      <w:r>
        <w:rPr>
          <w:lang w:eastAsia="en-AU"/>
        </w:rPr>
        <w:t xml:space="preserve">Select </w:t>
      </w:r>
      <w:r>
        <w:rPr>
          <w:noProof/>
          <w:lang w:eastAsia="en-AU"/>
        </w:rPr>
        <w:drawing>
          <wp:inline distT="0" distB="0" distL="0" distR="0" wp14:anchorId="6DF1EEF8" wp14:editId="7569A35D">
            <wp:extent cx="273600" cy="180000"/>
            <wp:effectExtent l="19050" t="19050" r="12700" b="10795"/>
            <wp:docPr id="28" name="Picture 28" title=" the Menu o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" cy="1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lang w:eastAsia="en-AU"/>
        </w:rPr>
        <w:t xml:space="preserve"> to access QLIK help or learn more about the software. </w:t>
      </w:r>
    </w:p>
    <w:p w14:paraId="5C421B4C" w14:textId="77777777" w:rsidR="00527708" w:rsidRDefault="00527708" w:rsidP="00527708">
      <w:pPr>
        <w:pStyle w:val="QRGText"/>
        <w:numPr>
          <w:ilvl w:val="0"/>
          <w:numId w:val="22"/>
        </w:numPr>
        <w:rPr>
          <w:lang w:eastAsia="en-AU"/>
        </w:rPr>
      </w:pPr>
      <w:r>
        <w:rPr>
          <w:lang w:eastAsia="en-AU"/>
        </w:rPr>
        <w:t xml:space="preserve">Select </w:t>
      </w:r>
      <w:r>
        <w:rPr>
          <w:noProof/>
          <w:lang w:eastAsia="en-AU"/>
        </w:rPr>
        <w:drawing>
          <wp:inline distT="0" distB="0" distL="0" distR="0" wp14:anchorId="70AD2FFA" wp14:editId="3F167A23">
            <wp:extent cx="180000" cy="180000"/>
            <wp:effectExtent l="0" t="0" r="0" b="0"/>
            <wp:docPr id="31" name="Picture 31" title="Show app in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en-AU"/>
        </w:rPr>
        <w:t xml:space="preserve"> to open and close the report header, which displays the title of the </w:t>
      </w:r>
      <w:r w:rsidR="000E5B87">
        <w:rPr>
          <w:lang w:eastAsia="en-AU"/>
        </w:rPr>
        <w:t>report</w:t>
      </w:r>
      <w:r>
        <w:rPr>
          <w:lang w:eastAsia="en-AU"/>
        </w:rPr>
        <w:t xml:space="preserve"> and the last time data was added to the </w:t>
      </w:r>
      <w:r w:rsidR="000E5B87">
        <w:rPr>
          <w:lang w:eastAsia="en-AU"/>
        </w:rPr>
        <w:t>report</w:t>
      </w:r>
      <w:r>
        <w:rPr>
          <w:lang w:eastAsia="en-AU"/>
        </w:rPr>
        <w:t xml:space="preserve">. </w:t>
      </w:r>
    </w:p>
    <w:p w14:paraId="6F1E2420" w14:textId="22F5A113" w:rsidR="00527708" w:rsidRDefault="00527708" w:rsidP="00527708">
      <w:pPr>
        <w:pStyle w:val="QRGText"/>
        <w:numPr>
          <w:ilvl w:val="0"/>
          <w:numId w:val="22"/>
        </w:numPr>
        <w:rPr>
          <w:lang w:eastAsia="en-AU"/>
        </w:rPr>
      </w:pPr>
      <w:r>
        <w:rPr>
          <w:lang w:eastAsia="en-AU"/>
        </w:rPr>
        <w:t xml:space="preserve">Select </w:t>
      </w:r>
      <w:r>
        <w:rPr>
          <w:noProof/>
          <w:lang w:eastAsia="en-AU"/>
        </w:rPr>
        <w:drawing>
          <wp:inline distT="0" distB="0" distL="0" distR="0" wp14:anchorId="5C587558" wp14:editId="489A88A2">
            <wp:extent cx="270000" cy="180000"/>
            <wp:effectExtent l="19050" t="19050" r="15875" b="10795"/>
            <wp:docPr id="20" name="Picture 20" title="the Bookmark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" cy="1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lang w:eastAsia="en-AU"/>
        </w:rPr>
        <w:t xml:space="preserve"> to bookmark and save the location of a particular </w:t>
      </w:r>
      <w:r w:rsidR="00A10845">
        <w:rPr>
          <w:lang w:eastAsia="en-AU"/>
        </w:rPr>
        <w:t>sheet</w:t>
      </w:r>
      <w:r w:rsidR="000E5B87">
        <w:rPr>
          <w:lang w:eastAsia="en-AU"/>
        </w:rPr>
        <w:t xml:space="preserve">, or a </w:t>
      </w:r>
      <w:r>
        <w:rPr>
          <w:lang w:eastAsia="en-AU"/>
        </w:rPr>
        <w:t xml:space="preserve">filter/comparison group you have created. You can </w:t>
      </w:r>
      <w:r w:rsidR="00D54EBD">
        <w:rPr>
          <w:lang w:eastAsia="en-AU"/>
        </w:rPr>
        <w:t xml:space="preserve">then </w:t>
      </w:r>
      <w:r>
        <w:rPr>
          <w:lang w:eastAsia="en-AU"/>
        </w:rPr>
        <w:t xml:space="preserve">return to the </w:t>
      </w:r>
      <w:r w:rsidR="00A10845">
        <w:rPr>
          <w:lang w:eastAsia="en-AU"/>
        </w:rPr>
        <w:t>sheet</w:t>
      </w:r>
      <w:r>
        <w:rPr>
          <w:lang w:eastAsia="en-AU"/>
        </w:rPr>
        <w:t xml:space="preserve"> or filter/comparison group as required later. </w:t>
      </w:r>
    </w:p>
    <w:p w14:paraId="725CC094" w14:textId="77777777" w:rsidR="00527708" w:rsidRDefault="00527708" w:rsidP="00527708">
      <w:pPr>
        <w:pStyle w:val="QRGText"/>
        <w:numPr>
          <w:ilvl w:val="0"/>
          <w:numId w:val="22"/>
        </w:numPr>
        <w:rPr>
          <w:lang w:eastAsia="en-AU"/>
        </w:rPr>
      </w:pPr>
      <w:r>
        <w:rPr>
          <w:lang w:eastAsia="en-AU"/>
        </w:rPr>
        <w:t xml:space="preserve">Select </w:t>
      </w:r>
      <w:r>
        <w:rPr>
          <w:noProof/>
          <w:lang w:eastAsia="en-AU"/>
        </w:rPr>
        <w:drawing>
          <wp:inline distT="0" distB="0" distL="0" distR="0" wp14:anchorId="6B789C9F" wp14:editId="0D1D5D93">
            <wp:extent cx="1468800" cy="180000"/>
            <wp:effectExtent l="19050" t="19050" r="17145" b="10795"/>
            <wp:docPr id="448" name="Picture 448" title="report 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00" cy="1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lang w:eastAsia="en-AU"/>
        </w:rPr>
        <w:t xml:space="preserve"> (the name of your </w:t>
      </w:r>
      <w:r w:rsidR="00A10845">
        <w:rPr>
          <w:lang w:eastAsia="en-AU"/>
        </w:rPr>
        <w:t>sheet</w:t>
      </w:r>
      <w:r>
        <w:rPr>
          <w:lang w:eastAsia="en-AU"/>
        </w:rPr>
        <w:t xml:space="preserve">) to open </w:t>
      </w:r>
      <w:r w:rsidR="00B5132B">
        <w:rPr>
          <w:lang w:eastAsia="en-AU"/>
        </w:rPr>
        <w:t xml:space="preserve">a list of all available QLIK </w:t>
      </w:r>
      <w:r w:rsidR="00A10845">
        <w:rPr>
          <w:lang w:eastAsia="en-AU"/>
        </w:rPr>
        <w:t>sheets</w:t>
      </w:r>
      <w:r w:rsidR="00B5132B">
        <w:rPr>
          <w:lang w:eastAsia="en-AU"/>
        </w:rPr>
        <w:t xml:space="preserve"> so you can quickly jump to a particular </w:t>
      </w:r>
      <w:r w:rsidR="00A10845">
        <w:rPr>
          <w:lang w:eastAsia="en-AU"/>
        </w:rPr>
        <w:t>sheet</w:t>
      </w:r>
      <w:r w:rsidR="00B5132B">
        <w:rPr>
          <w:lang w:eastAsia="en-AU"/>
        </w:rPr>
        <w:t xml:space="preserve"> as/if needed</w:t>
      </w:r>
      <w:r>
        <w:rPr>
          <w:lang w:eastAsia="en-AU"/>
        </w:rPr>
        <w:t xml:space="preserve">. </w:t>
      </w:r>
      <w:r w:rsidR="000E5B87">
        <w:rPr>
          <w:lang w:eastAsia="en-AU"/>
        </w:rPr>
        <w:t>The name listed on this</w:t>
      </w:r>
      <w:r w:rsidR="00B5132B">
        <w:rPr>
          <w:lang w:eastAsia="en-AU"/>
        </w:rPr>
        <w:t xml:space="preserve"> button will display the </w:t>
      </w:r>
      <w:r w:rsidR="00A10845">
        <w:rPr>
          <w:lang w:eastAsia="en-AU"/>
        </w:rPr>
        <w:t>sheet</w:t>
      </w:r>
      <w:r w:rsidR="00B5132B">
        <w:rPr>
          <w:lang w:eastAsia="en-AU"/>
        </w:rPr>
        <w:t xml:space="preserve"> you are currently viewing.</w:t>
      </w:r>
    </w:p>
    <w:p w14:paraId="6B54EFC4" w14:textId="45DF501B" w:rsidR="00B5132B" w:rsidRDefault="00B5132B" w:rsidP="00B5132B">
      <w:pPr>
        <w:pStyle w:val="QRGText"/>
        <w:numPr>
          <w:ilvl w:val="0"/>
          <w:numId w:val="22"/>
        </w:numPr>
        <w:rPr>
          <w:lang w:eastAsia="en-AU"/>
        </w:rPr>
      </w:pPr>
      <w:r>
        <w:rPr>
          <w:lang w:eastAsia="en-AU"/>
        </w:rPr>
        <w:t xml:space="preserve">Select </w:t>
      </w:r>
      <w:r>
        <w:rPr>
          <w:noProof/>
          <w:lang w:eastAsia="en-AU"/>
        </w:rPr>
        <w:drawing>
          <wp:inline distT="0" distB="0" distL="0" distR="0" wp14:anchorId="3A9B93C3" wp14:editId="7D8084FD">
            <wp:extent cx="518400" cy="180000"/>
            <wp:effectExtent l="19050" t="19050" r="15240" b="10795"/>
            <wp:docPr id="23" name="Picture 23" title="the forward and back arro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00" cy="1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lang w:eastAsia="en-AU"/>
        </w:rPr>
        <w:t xml:space="preserve"> to move forward and back between </w:t>
      </w:r>
      <w:r w:rsidR="000E5B87">
        <w:rPr>
          <w:lang w:eastAsia="en-AU"/>
        </w:rPr>
        <w:t xml:space="preserve">the </w:t>
      </w:r>
      <w:r w:rsidR="00A10845">
        <w:rPr>
          <w:lang w:eastAsia="en-AU"/>
        </w:rPr>
        <w:t xml:space="preserve">sheets in the </w:t>
      </w:r>
      <w:r w:rsidR="00B015FC">
        <w:rPr>
          <w:lang w:eastAsia="en-AU"/>
        </w:rPr>
        <w:t>report</w:t>
      </w:r>
      <w:r>
        <w:rPr>
          <w:lang w:eastAsia="en-AU"/>
        </w:rPr>
        <w:t xml:space="preserve">. </w:t>
      </w:r>
    </w:p>
    <w:p w14:paraId="347F11BD" w14:textId="77777777" w:rsidR="000E5B87" w:rsidRDefault="000E5B87">
      <w:pPr>
        <w:spacing w:before="0" w:after="0"/>
        <w:rPr>
          <w:b/>
          <w:bCs/>
          <w:color w:val="002060"/>
        </w:rPr>
      </w:pPr>
      <w:r>
        <w:br w:type="page"/>
      </w:r>
    </w:p>
    <w:p w14:paraId="09D849EB" w14:textId="316DC090" w:rsidR="00BB53A9" w:rsidRDefault="00943865" w:rsidP="00BB53A9">
      <w:pPr>
        <w:pStyle w:val="QRGSubHeading"/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67AE65B" wp14:editId="032455E6">
                <wp:simplePos x="0" y="0"/>
                <wp:positionH relativeFrom="column">
                  <wp:posOffset>2895600</wp:posOffset>
                </wp:positionH>
                <wp:positionV relativeFrom="paragraph">
                  <wp:posOffset>-1003300</wp:posOffset>
                </wp:positionV>
                <wp:extent cx="4147820" cy="520065"/>
                <wp:effectExtent l="0" t="0" r="0" b="0"/>
                <wp:wrapNone/>
                <wp:docPr id="8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7820" cy="520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CCB1F" w14:textId="4785A654" w:rsidR="00943865" w:rsidRPr="00984ADD" w:rsidRDefault="00943865" w:rsidP="0094386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 xml:space="preserve">Get Started with </w:t>
                            </w:r>
                            <w:r w:rsidR="00A10845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>the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 xml:space="preserve"> QLIK</w:t>
                            </w:r>
                            <w:r w:rsidR="00A10845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015FC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 xml:space="preserve">Health Service </w:t>
                            </w:r>
                            <w:r w:rsidR="00D76C3E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>nKPI and OSR</w:t>
                            </w:r>
                            <w:r w:rsidR="00B015FC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 xml:space="preserve"> Report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7AE65B" id="Text Box 8" o:spid="_x0000_s1027" type="#_x0000_t202" alt="&quot;&quot;" style="position:absolute;margin-left:228pt;margin-top:-79pt;width:326.6pt;height:40.95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" filled="f" stroked="f">
                <v:textbox style="mso-fit-shape-to-text:t">
                  <w:txbxContent>
                    <w:p w14:paraId="251CCB1F" w14:textId="4785A654" w:rsidR="00943865" w:rsidRPr="00984ADD" w:rsidRDefault="00943865" w:rsidP="00943865">
                      <w:pPr>
                        <w:jc w:val="center"/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 xml:space="preserve">Get Started with </w:t>
                      </w:r>
                      <w:r w:rsidR="00A10845"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>the</w:t>
                      </w:r>
                      <w:r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 xml:space="preserve"> QLIK</w:t>
                      </w:r>
                      <w:r w:rsidR="00A10845"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B015FC"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 xml:space="preserve">Health Service </w:t>
                      </w:r>
                      <w:r w:rsidR="00D76C3E"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>nKPI and OSR</w:t>
                      </w:r>
                      <w:r w:rsidR="00B015FC"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 xml:space="preserve"> Report </w:t>
                      </w:r>
                    </w:p>
                  </w:txbxContent>
                </v:textbox>
              </v:shape>
            </w:pict>
          </mc:Fallback>
        </mc:AlternateContent>
      </w:r>
      <w:r w:rsidR="00BB53A9">
        <w:t xml:space="preserve">The </w:t>
      </w:r>
      <w:r w:rsidR="00B5132B">
        <w:t>Selections Bar</w:t>
      </w:r>
      <w:r w:rsidR="00BB53A9">
        <w:t xml:space="preserve"> (2) </w:t>
      </w:r>
    </w:p>
    <w:p w14:paraId="49987012" w14:textId="5AA2C06A" w:rsidR="00B5132B" w:rsidRDefault="00B5132B" w:rsidP="00B5132B">
      <w:pPr>
        <w:pStyle w:val="QRGText"/>
        <w:rPr>
          <w:lang w:eastAsia="en-AU"/>
        </w:rPr>
      </w:pPr>
      <w:r>
        <w:rPr>
          <w:lang w:eastAsia="en-AU"/>
        </w:rPr>
        <w:t xml:space="preserve">The </w:t>
      </w:r>
      <w:r w:rsidRPr="00D562A7">
        <w:rPr>
          <w:i/>
          <w:lang w:eastAsia="en-AU"/>
        </w:rPr>
        <w:t>Selection Bar</w:t>
      </w:r>
      <w:r>
        <w:rPr>
          <w:lang w:eastAsia="en-AU"/>
        </w:rPr>
        <w:t>, beneath the Menu Bar, contains the following functions</w:t>
      </w:r>
      <w:r w:rsidR="000E5B87">
        <w:rPr>
          <w:lang w:eastAsia="en-AU"/>
        </w:rPr>
        <w:t xml:space="preserve"> (from left to right)</w:t>
      </w:r>
      <w:r>
        <w:rPr>
          <w:lang w:eastAsia="en-AU"/>
        </w:rPr>
        <w:t>:</w:t>
      </w:r>
      <w:r w:rsidR="00943865" w:rsidRPr="00943865">
        <w:rPr>
          <w:noProof/>
          <w:lang w:eastAsia="en-AU"/>
        </w:rPr>
        <w:t xml:space="preserve"> </w:t>
      </w:r>
    </w:p>
    <w:p w14:paraId="7810491D" w14:textId="77777777" w:rsidR="00B5132B" w:rsidRDefault="00B5132B" w:rsidP="00B5132B">
      <w:pPr>
        <w:pStyle w:val="QRGText"/>
        <w:numPr>
          <w:ilvl w:val="0"/>
          <w:numId w:val="22"/>
        </w:numPr>
        <w:rPr>
          <w:lang w:eastAsia="en-AU"/>
        </w:rPr>
      </w:pPr>
      <w:r>
        <w:rPr>
          <w:lang w:eastAsia="en-AU"/>
        </w:rPr>
        <w:t xml:space="preserve">Select </w:t>
      </w:r>
      <w:r>
        <w:rPr>
          <w:noProof/>
          <w:lang w:eastAsia="en-AU"/>
        </w:rPr>
        <w:drawing>
          <wp:inline distT="0" distB="0" distL="0" distR="0" wp14:anchorId="0D2FBA7E" wp14:editId="7B121A5C">
            <wp:extent cx="208800" cy="180000"/>
            <wp:effectExtent l="19050" t="19050" r="20320" b="10795"/>
            <wp:docPr id="235" name="Picture 235" descr="the Smart Search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00" cy="1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lang w:eastAsia="en-AU"/>
        </w:rPr>
        <w:t xml:space="preserve"> and enter in key words to search the entirety of your data </w:t>
      </w:r>
      <w:r w:rsidR="000E5B87">
        <w:rPr>
          <w:lang w:eastAsia="en-AU"/>
        </w:rPr>
        <w:t>with</w:t>
      </w:r>
      <w:r>
        <w:rPr>
          <w:lang w:eastAsia="en-AU"/>
        </w:rPr>
        <w:t xml:space="preserve">in the </w:t>
      </w:r>
      <w:r w:rsidR="00A10845">
        <w:rPr>
          <w:lang w:eastAsia="en-AU"/>
        </w:rPr>
        <w:t>sheets</w:t>
      </w:r>
      <w:r>
        <w:rPr>
          <w:lang w:eastAsia="en-AU"/>
        </w:rPr>
        <w:t xml:space="preserve">. </w:t>
      </w:r>
    </w:p>
    <w:p w14:paraId="23D1D0ED" w14:textId="73F7C0E9" w:rsidR="00B5132B" w:rsidRDefault="00B5132B" w:rsidP="00B5132B">
      <w:pPr>
        <w:pStyle w:val="QRGText"/>
        <w:numPr>
          <w:ilvl w:val="0"/>
          <w:numId w:val="22"/>
        </w:numPr>
        <w:rPr>
          <w:lang w:eastAsia="en-AU"/>
        </w:rPr>
      </w:pPr>
      <w:r>
        <w:rPr>
          <w:lang w:eastAsia="en-AU"/>
        </w:rPr>
        <w:t xml:space="preserve">Select </w:t>
      </w:r>
      <w:r>
        <w:rPr>
          <w:noProof/>
          <w:lang w:eastAsia="en-AU"/>
        </w:rPr>
        <w:drawing>
          <wp:inline distT="0" distB="0" distL="0" distR="0" wp14:anchorId="008A2A2C" wp14:editId="4F807914">
            <wp:extent cx="493200" cy="180000"/>
            <wp:effectExtent l="19050" t="19050" r="21590" b="10795"/>
            <wp:docPr id="231" name="Picture 231" descr="the Step back and Step forward butt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0" cy="1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0E5B87">
        <w:rPr>
          <w:lang w:eastAsia="en-AU"/>
        </w:rPr>
        <w:t xml:space="preserve"> to move back and forth </w:t>
      </w:r>
      <w:r>
        <w:rPr>
          <w:lang w:eastAsia="en-AU"/>
        </w:rPr>
        <w:t xml:space="preserve">between the various data filters you have selected. </w:t>
      </w:r>
    </w:p>
    <w:p w14:paraId="4348E372" w14:textId="77777777" w:rsidR="00B5132B" w:rsidRDefault="00B5132B" w:rsidP="00B5132B">
      <w:pPr>
        <w:pStyle w:val="QRGText"/>
        <w:numPr>
          <w:ilvl w:val="0"/>
          <w:numId w:val="22"/>
        </w:numPr>
        <w:rPr>
          <w:lang w:eastAsia="en-AU"/>
        </w:rPr>
      </w:pPr>
      <w:r>
        <w:rPr>
          <w:lang w:eastAsia="en-AU"/>
        </w:rPr>
        <w:t xml:space="preserve">Select </w:t>
      </w:r>
      <w:r>
        <w:rPr>
          <w:noProof/>
          <w:lang w:eastAsia="en-AU"/>
        </w:rPr>
        <w:drawing>
          <wp:inline distT="0" distB="0" distL="0" distR="0" wp14:anchorId="0EB1DCB8" wp14:editId="586D45BA">
            <wp:extent cx="208800" cy="180000"/>
            <wp:effectExtent l="19050" t="19050" r="20320" b="10795"/>
            <wp:docPr id="232" name="Picture 232" descr="Clear all selec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00" cy="1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lang w:eastAsia="en-AU"/>
        </w:rPr>
        <w:t xml:space="preserve"> to clear any filters you have selected.</w:t>
      </w:r>
    </w:p>
    <w:p w14:paraId="5E4A73F7" w14:textId="67BC4502" w:rsidR="00B5132B" w:rsidRDefault="00B5132B" w:rsidP="00B5132B">
      <w:pPr>
        <w:pStyle w:val="QRGText"/>
        <w:numPr>
          <w:ilvl w:val="0"/>
          <w:numId w:val="22"/>
        </w:numPr>
        <w:rPr>
          <w:lang w:eastAsia="en-AU"/>
        </w:rPr>
      </w:pPr>
      <w:r>
        <w:rPr>
          <w:lang w:eastAsia="en-AU"/>
        </w:rPr>
        <w:t>When viewing a sheet, if you select various filers, they will group together for your analysis. These filters will display as</w:t>
      </w:r>
      <w:r>
        <w:rPr>
          <w:noProof/>
          <w:lang w:eastAsia="en-AU"/>
        </w:rPr>
        <w:drawing>
          <wp:inline distT="0" distB="0" distL="0" distR="0" wp14:anchorId="7318C3F6" wp14:editId="1822BAF1">
            <wp:extent cx="763200" cy="180000"/>
            <wp:effectExtent l="19050" t="19050" r="18415" b="10795"/>
            <wp:docPr id="233" name="Picture 233" descr="picture of a selected fil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00" cy="1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lang w:eastAsia="en-AU"/>
        </w:rPr>
        <w:t xml:space="preserve">. </w:t>
      </w:r>
    </w:p>
    <w:p w14:paraId="694FA59E" w14:textId="22C0D0E8" w:rsidR="00B5132B" w:rsidRDefault="00B5132B" w:rsidP="00B5132B">
      <w:pPr>
        <w:pStyle w:val="QRGText"/>
        <w:numPr>
          <w:ilvl w:val="0"/>
          <w:numId w:val="22"/>
        </w:numPr>
        <w:rPr>
          <w:lang w:eastAsia="en-AU"/>
        </w:rPr>
      </w:pPr>
      <w:r>
        <w:rPr>
          <w:lang w:eastAsia="en-AU"/>
        </w:rPr>
        <w:t xml:space="preserve">Select </w:t>
      </w:r>
      <w:r>
        <w:rPr>
          <w:noProof/>
          <w:lang w:eastAsia="en-AU"/>
        </w:rPr>
        <w:drawing>
          <wp:inline distT="0" distB="0" distL="0" distR="0" wp14:anchorId="076A6BB9" wp14:editId="18B34637">
            <wp:extent cx="644400" cy="180000"/>
            <wp:effectExtent l="19050" t="19050" r="22860" b="10795"/>
            <wp:docPr id="449" name="Picture 449" title="Selec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00" cy="1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lang w:eastAsia="en-AU"/>
        </w:rPr>
        <w:t xml:space="preserve"> to open a view containing more filter options for the report. Simply select it again to return to the </w:t>
      </w:r>
      <w:r w:rsidR="00A10845">
        <w:rPr>
          <w:lang w:eastAsia="en-AU"/>
        </w:rPr>
        <w:t>sheet</w:t>
      </w:r>
      <w:r>
        <w:rPr>
          <w:lang w:eastAsia="en-AU"/>
        </w:rPr>
        <w:t xml:space="preserve">. </w:t>
      </w:r>
    </w:p>
    <w:p w14:paraId="2F9184E7" w14:textId="61D5A455" w:rsidR="007A7630" w:rsidRDefault="00BB53A9" w:rsidP="00BB53A9">
      <w:pPr>
        <w:pStyle w:val="QRGSubHeading"/>
      </w:pPr>
      <w:r>
        <w:t xml:space="preserve">The </w:t>
      </w:r>
      <w:r w:rsidR="00B5132B">
        <w:t>Title Bar</w:t>
      </w:r>
      <w:r>
        <w:t xml:space="preserve"> (3)</w:t>
      </w:r>
    </w:p>
    <w:p w14:paraId="7CA457F9" w14:textId="6AF1B30E" w:rsidR="004D3A7D" w:rsidRDefault="004D3A7D" w:rsidP="004D3A7D">
      <w:pPr>
        <w:pStyle w:val="QRGText"/>
      </w:pPr>
      <w:r>
        <w:t xml:space="preserve">The </w:t>
      </w:r>
      <w:r w:rsidR="00B5132B">
        <w:rPr>
          <w:i/>
        </w:rPr>
        <w:t>Title Bar</w:t>
      </w:r>
      <w:r w:rsidR="00B5132B">
        <w:t xml:space="preserve"> contains the name of the </w:t>
      </w:r>
      <w:r w:rsidR="00A10845">
        <w:t>sheet</w:t>
      </w:r>
      <w:r w:rsidR="00B5132B">
        <w:t xml:space="preserve"> you currently have open</w:t>
      </w:r>
      <w:r w:rsidR="005473DD">
        <w:t xml:space="preserve"> (e.g. </w:t>
      </w:r>
      <w:r w:rsidR="000E5B87">
        <w:t>PI01: Birthweight recorded).</w:t>
      </w:r>
    </w:p>
    <w:p w14:paraId="47CFE54A" w14:textId="0F71889C" w:rsidR="00EC31BE" w:rsidRDefault="00744B1C" w:rsidP="004D3A7D">
      <w:pPr>
        <w:pStyle w:val="QRGSubHeading"/>
        <w:rPr>
          <w:lang w:eastAsia="en-AU"/>
        </w:rPr>
      </w:pPr>
      <w:r>
        <w:rPr>
          <w:lang w:eastAsia="en-AU"/>
        </w:rPr>
        <w:t>The Layout View</w:t>
      </w:r>
      <w:r w:rsidR="00B16C9A">
        <w:rPr>
          <w:lang w:eastAsia="en-AU"/>
        </w:rPr>
        <w:t>/Main window</w:t>
      </w:r>
      <w:r>
        <w:rPr>
          <w:lang w:eastAsia="en-AU"/>
        </w:rPr>
        <w:t xml:space="preserve"> (4</w:t>
      </w:r>
      <w:r w:rsidR="004D3A7D">
        <w:rPr>
          <w:lang w:eastAsia="en-AU"/>
        </w:rPr>
        <w:t>)</w:t>
      </w:r>
    </w:p>
    <w:p w14:paraId="0D9C2F36" w14:textId="446CBE81" w:rsidR="00B16C9A" w:rsidRDefault="00B16C9A" w:rsidP="004D3A7D">
      <w:pPr>
        <w:pStyle w:val="QRGText"/>
      </w:pPr>
      <w:r>
        <w:t xml:space="preserve">The Layout view/Main window of any </w:t>
      </w:r>
      <w:r w:rsidR="00A10845">
        <w:t>sheet</w:t>
      </w:r>
      <w:r>
        <w:t xml:space="preserve"> contains the graph or graphs showing your </w:t>
      </w:r>
      <w:r w:rsidR="00891B85">
        <w:t>h</w:t>
      </w:r>
      <w:r>
        <w:t xml:space="preserve">ealth </w:t>
      </w:r>
      <w:r w:rsidR="00891B85">
        <w:t>s</w:t>
      </w:r>
      <w:r>
        <w:t xml:space="preserve">ervice’s results (and those of any </w:t>
      </w:r>
      <w:r w:rsidR="00BD17B1">
        <w:t>comparison g</w:t>
      </w:r>
      <w:r>
        <w:t>roups you have created) for the selected indicator(s).</w:t>
      </w:r>
    </w:p>
    <w:p w14:paraId="3BCBF09A" w14:textId="162EA351" w:rsidR="00F72408" w:rsidRDefault="00366137" w:rsidP="00F72408">
      <w:pPr>
        <w:pStyle w:val="QRGHeading"/>
        <w:rPr>
          <w:lang w:eastAsia="en-AU"/>
        </w:rPr>
      </w:pPr>
      <w:r>
        <w:rPr>
          <w:lang w:eastAsia="en-AU"/>
        </w:rPr>
        <w:t>More</w:t>
      </w:r>
      <w:r w:rsidR="00F72408">
        <w:rPr>
          <w:lang w:eastAsia="en-AU"/>
        </w:rPr>
        <w:t xml:space="preserve"> </w:t>
      </w:r>
      <w:r w:rsidR="00A10845">
        <w:rPr>
          <w:lang w:eastAsia="en-AU"/>
        </w:rPr>
        <w:t xml:space="preserve">QLIK </w:t>
      </w:r>
      <w:r w:rsidR="00B015FC">
        <w:rPr>
          <w:lang w:eastAsia="en-AU"/>
        </w:rPr>
        <w:t xml:space="preserve">Report </w:t>
      </w:r>
      <w:r>
        <w:rPr>
          <w:lang w:eastAsia="en-AU"/>
        </w:rPr>
        <w:t>Features</w:t>
      </w:r>
    </w:p>
    <w:p w14:paraId="19DA1073" w14:textId="420D411B" w:rsidR="001676FE" w:rsidRDefault="00DE5468" w:rsidP="004422C1">
      <w:pPr>
        <w:pStyle w:val="QRGText"/>
        <w:rPr>
          <w:lang w:eastAsia="en-AU"/>
        </w:rPr>
      </w:pPr>
      <w:r>
        <w:rPr>
          <w:lang w:eastAsia="en-AU"/>
        </w:rPr>
        <w:t xml:space="preserve">In addition to the four </w:t>
      </w:r>
      <w:r w:rsidR="00B16C9A">
        <w:rPr>
          <w:lang w:eastAsia="en-AU"/>
        </w:rPr>
        <w:t xml:space="preserve">common </w:t>
      </w:r>
      <w:r w:rsidR="00A10845">
        <w:rPr>
          <w:lang w:eastAsia="en-AU"/>
        </w:rPr>
        <w:t>sheet</w:t>
      </w:r>
      <w:r>
        <w:rPr>
          <w:lang w:eastAsia="en-AU"/>
        </w:rPr>
        <w:t xml:space="preserve"> sections discussed earlier, there are other standard functions available from any </w:t>
      </w:r>
      <w:r w:rsidR="00A10845">
        <w:rPr>
          <w:lang w:eastAsia="en-AU"/>
        </w:rPr>
        <w:t>sheet within</w:t>
      </w:r>
      <w:r>
        <w:rPr>
          <w:lang w:eastAsia="en-AU"/>
        </w:rPr>
        <w:t xml:space="preserve"> QLIK.</w:t>
      </w:r>
    </w:p>
    <w:p w14:paraId="10E95535" w14:textId="647D4AEE" w:rsidR="00B9512D" w:rsidRPr="00B9512D" w:rsidRDefault="00B9512D" w:rsidP="00B9512D">
      <w:pPr>
        <w:pStyle w:val="QRGPictureCentre"/>
      </w:pPr>
      <w:r>
        <w:drawing>
          <wp:inline distT="0" distB="0" distL="0" distR="0" wp14:anchorId="3F3AA87A" wp14:editId="7F344921">
            <wp:extent cx="3095625" cy="1447800"/>
            <wp:effectExtent l="19050" t="19050" r="28575" b="19050"/>
            <wp:docPr id="5" name="Picture 5" descr="picture of the PI01: Birthweight recorded 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picture of the PI01: Birthweight recorded sheet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447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E9D2DE7" w14:textId="7DCF088E" w:rsidR="0020471D" w:rsidRDefault="0020471D" w:rsidP="0051105A">
      <w:pPr>
        <w:pStyle w:val="QRGSubHeading"/>
        <w:rPr>
          <w:lang w:eastAsia="en-AU"/>
        </w:rPr>
      </w:pPr>
    </w:p>
    <w:p w14:paraId="2AF613B5" w14:textId="77777777" w:rsidR="0020471D" w:rsidRDefault="0020471D" w:rsidP="0051105A">
      <w:pPr>
        <w:pStyle w:val="QRGSubHeading"/>
        <w:rPr>
          <w:lang w:eastAsia="en-AU"/>
        </w:rPr>
      </w:pPr>
    </w:p>
    <w:p w14:paraId="572CBF1D" w14:textId="3D5EC1DF" w:rsidR="0051105A" w:rsidRDefault="0051105A" w:rsidP="0051105A">
      <w:pPr>
        <w:pStyle w:val="QRGSubHeading"/>
        <w:rPr>
          <w:lang w:eastAsia="en-AU"/>
        </w:rPr>
      </w:pPr>
      <w:r>
        <w:rPr>
          <w:lang w:eastAsia="en-AU"/>
        </w:rPr>
        <w:t xml:space="preserve">The Hover Menu </w:t>
      </w:r>
    </w:p>
    <w:p w14:paraId="3EA37E6F" w14:textId="738519E6" w:rsidR="00B9512D" w:rsidRDefault="00B9512D" w:rsidP="0051105A">
      <w:pPr>
        <w:pStyle w:val="QRGText"/>
        <w:jc w:val="center"/>
        <w:rPr>
          <w:lang w:eastAsia="en-AU"/>
        </w:rPr>
      </w:pPr>
      <w:r>
        <w:rPr>
          <w:noProof/>
          <w:lang w:eastAsia="en-AU"/>
        </w:rPr>
        <w:drawing>
          <wp:inline distT="0" distB="0" distL="0" distR="0" wp14:anchorId="543F6F16" wp14:editId="5978ACB8">
            <wp:extent cx="3038899" cy="1428949"/>
            <wp:effectExtent l="19050" t="19050" r="28575" b="19050"/>
            <wp:docPr id="10" name="Picture 10" descr="picture of a QLIK report with the Hover menu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picture of a QLIK report with the Hover menu highligh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899" cy="142894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B558540" w14:textId="093AF7A9" w:rsidR="0051105A" w:rsidRDefault="0051105A" w:rsidP="0051105A">
      <w:pPr>
        <w:pStyle w:val="QRGText"/>
      </w:pPr>
      <w:r w:rsidRPr="008359F8">
        <w:t xml:space="preserve">When you hover your mouse pointer over </w:t>
      </w:r>
      <w:r w:rsidRPr="00FE618C">
        <w:t xml:space="preserve">a </w:t>
      </w:r>
      <w:r>
        <w:t xml:space="preserve">graph or a table on a </w:t>
      </w:r>
      <w:r w:rsidR="00A10845">
        <w:t>sheet</w:t>
      </w:r>
      <w:r>
        <w:t>,</w:t>
      </w:r>
      <w:r w:rsidRPr="00FE618C">
        <w:t xml:space="preserve"> a hover menu will </w:t>
      </w:r>
      <w:r>
        <w:t>display,</w:t>
      </w:r>
      <w:r w:rsidRPr="00FE618C">
        <w:t xml:space="preserve"> presenting you with options regarding what you can do with the data in the selected </w:t>
      </w:r>
      <w:r>
        <w:t>graph/table</w:t>
      </w:r>
      <w:r w:rsidRPr="00FE618C">
        <w:t>.</w:t>
      </w:r>
    </w:p>
    <w:p w14:paraId="002D286D" w14:textId="4B70E867" w:rsidR="00B9512D" w:rsidRDefault="00D76C3E" w:rsidP="00B9512D">
      <w:pPr>
        <w:pStyle w:val="QRGText"/>
        <w:rPr>
          <w:noProof/>
          <w:lang w:eastAsia="en-AU"/>
        </w:rPr>
      </w:pPr>
      <w:r>
        <w:pict w14:anchorId="620A97DD">
          <v:shape id="Picture 474" o:spid="_x0000_i1030" type="#_x0000_t75" alt="Title: the Full Screen button" style="width:15.35pt;height:14.1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">
            <v:imagedata r:id="rId22" o:title="" cropbottom="-1179f"/>
          </v:shape>
        </w:pict>
      </w:r>
      <w:r w:rsidR="00B9512D">
        <w:t xml:space="preserve"> </w:t>
      </w:r>
      <w:r w:rsidR="00B9512D" w:rsidRPr="00FE618C">
        <w:rPr>
          <w:b/>
        </w:rPr>
        <w:t>Full Screen</w:t>
      </w:r>
      <w:r w:rsidR="00B9512D">
        <w:t xml:space="preserve"> – Allows you to expand the selected graph to full screen view so the results can be viewed and analysed more easily.</w:t>
      </w:r>
      <w:r w:rsidR="00B9512D" w:rsidRPr="00FE618C">
        <w:rPr>
          <w:noProof/>
          <w:lang w:eastAsia="en-AU"/>
        </w:rPr>
        <w:t xml:space="preserve"> </w:t>
      </w:r>
    </w:p>
    <w:p w14:paraId="7B308CD6" w14:textId="7062E7B4" w:rsidR="00B9512D" w:rsidRDefault="00D76C3E" w:rsidP="00B9512D">
      <w:pPr>
        <w:pStyle w:val="QRGText"/>
      </w:pPr>
      <w:r>
        <w:pict w14:anchorId="22E5AFFB">
          <v:shape id="Picture 11" o:spid="_x0000_i1031" type="#_x0000_t75" alt="More" style="width:14.15pt;height:14.15pt;visibility:visible;mso-wrap-style:square">
            <v:imagedata r:id="rId23" o:title="More"/>
          </v:shape>
        </w:pict>
      </w:r>
      <w:r w:rsidR="00B9512D">
        <w:t xml:space="preserve"> </w:t>
      </w:r>
      <w:r w:rsidR="00B9512D" w:rsidRPr="00B9512D">
        <w:rPr>
          <w:b/>
          <w:bCs/>
        </w:rPr>
        <w:t>More</w:t>
      </w:r>
      <w:r w:rsidR="00B9512D">
        <w:t xml:space="preserve"> </w:t>
      </w:r>
      <w:r w:rsidR="005B012C">
        <w:t>–</w:t>
      </w:r>
      <w:r w:rsidR="00B9512D">
        <w:t xml:space="preserve"> </w:t>
      </w:r>
      <w:r w:rsidR="005B012C">
        <w:t>Opens up a menu that allows you to perform the following functions:</w:t>
      </w:r>
    </w:p>
    <w:p w14:paraId="6F102CA6" w14:textId="4447E7F0" w:rsidR="005B012C" w:rsidRDefault="005B012C" w:rsidP="00B9512D">
      <w:pPr>
        <w:pStyle w:val="QRGText"/>
      </w:pPr>
      <w:r>
        <w:rPr>
          <w:noProof/>
        </w:rPr>
        <w:drawing>
          <wp:inline distT="0" distB="0" distL="0" distR="0" wp14:anchorId="3CD5F956" wp14:editId="726821C2">
            <wp:extent cx="504000" cy="180000"/>
            <wp:effectExtent l="19050" t="19050" r="10795" b="10795"/>
            <wp:docPr id="12" name="Picture 12" descr="Full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Full screen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1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- Allows you to expand the selected graph to full screen view so the results can be viewed and analysed more easily.</w:t>
      </w:r>
    </w:p>
    <w:p w14:paraId="1E0BC8B5" w14:textId="25D24FD1" w:rsidR="005B012C" w:rsidRDefault="005B012C" w:rsidP="00B9512D">
      <w:pPr>
        <w:pStyle w:val="QRGText"/>
      </w:pPr>
      <w:r>
        <w:rPr>
          <w:noProof/>
        </w:rPr>
        <w:drawing>
          <wp:inline distT="0" distB="0" distL="0" distR="0" wp14:anchorId="75F91D7F" wp14:editId="475AEC07">
            <wp:extent cx="720000" cy="180000"/>
            <wp:effectExtent l="19050" t="19050" r="23495" b="10795"/>
            <wp:docPr id="13" name="Picture 13" descr="Exploration m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Exploration menu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- Allows you to quickly change the properties of the results you are viewing without making selections or editing the report. For more information, see </w:t>
      </w:r>
      <w:r w:rsidRPr="00547C32">
        <w:rPr>
          <w:i/>
        </w:rPr>
        <w:t>Explore Selections</w:t>
      </w:r>
      <w:r w:rsidRPr="00FE618C">
        <w:t xml:space="preserve"> </w:t>
      </w:r>
      <w:r>
        <w:t xml:space="preserve">in the </w:t>
      </w:r>
      <w:r w:rsidRPr="00A10845">
        <w:rPr>
          <w:i/>
        </w:rPr>
        <w:t xml:space="preserve">QLIK </w:t>
      </w:r>
      <w:r>
        <w:rPr>
          <w:i/>
        </w:rPr>
        <w:t>Health Service nKPI Report</w:t>
      </w:r>
      <w:r>
        <w:t xml:space="preserve"> user guide.</w:t>
      </w:r>
    </w:p>
    <w:p w14:paraId="58A4D80B" w14:textId="77777777" w:rsidR="005B012C" w:rsidRDefault="005B012C" w:rsidP="005B012C">
      <w:pPr>
        <w:pStyle w:val="QRGText"/>
      </w:pPr>
      <w:r>
        <w:rPr>
          <w:noProof/>
          <w:lang w:eastAsia="en-AU"/>
        </w:rPr>
        <w:drawing>
          <wp:inline distT="0" distB="0" distL="0" distR="0" wp14:anchorId="4701059F" wp14:editId="0D41869F">
            <wp:extent cx="640800" cy="180000"/>
            <wp:effectExtent l="19050" t="19050" r="26035" b="10795"/>
            <wp:docPr id="18" name="Picture 18" descr="View dat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00" cy="1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- Allows you to view the selected graph as a table. To return to the graph, right click on the table and select </w:t>
      </w:r>
      <w:r>
        <w:rPr>
          <w:noProof/>
          <w:lang w:eastAsia="en-AU"/>
        </w:rPr>
        <w:drawing>
          <wp:inline distT="0" distB="0" distL="0" distR="0" wp14:anchorId="25D63DC8" wp14:editId="270CE817">
            <wp:extent cx="601200" cy="180000"/>
            <wp:effectExtent l="19050" t="19050" r="27940" b="10795"/>
            <wp:docPr id="19" name="Picture 19" descr="View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1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>.</w:t>
      </w:r>
    </w:p>
    <w:p w14:paraId="1590E151" w14:textId="5BFBCA57" w:rsidR="005B012C" w:rsidRDefault="005B012C" w:rsidP="00B9512D">
      <w:pPr>
        <w:pStyle w:val="QRGText"/>
      </w:pPr>
      <w:r>
        <w:rPr>
          <w:noProof/>
        </w:rPr>
        <w:drawing>
          <wp:inline distT="0" distB="0" distL="0" distR="0" wp14:anchorId="5CB35345" wp14:editId="57ACFF3D">
            <wp:extent cx="349200" cy="180000"/>
            <wp:effectExtent l="19050" t="19050" r="13335" b="10795"/>
            <wp:docPr id="14" name="Picture 14" descr="Sh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Share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" cy="1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- Allows you to embed the graph into a webpage by selecting the arrow and then </w:t>
      </w:r>
      <w:r w:rsidRPr="005B012C">
        <w:rPr>
          <w:b/>
          <w:bCs/>
        </w:rPr>
        <w:t>Embed</w:t>
      </w:r>
      <w:r>
        <w:t>.</w:t>
      </w:r>
    </w:p>
    <w:p w14:paraId="2317015A" w14:textId="77777777" w:rsidR="005B012C" w:rsidRDefault="005B012C" w:rsidP="005B012C">
      <w:pPr>
        <w:pStyle w:val="QRGText"/>
      </w:pPr>
      <w:r>
        <w:rPr>
          <w:noProof/>
        </w:rPr>
        <w:drawing>
          <wp:inline distT="0" distB="0" distL="0" distR="0" wp14:anchorId="6396619A" wp14:editId="54A2CEA2">
            <wp:extent cx="709200" cy="180000"/>
            <wp:effectExtent l="19050" t="19050" r="15240" b="10795"/>
            <wp:docPr id="15" name="Picture 15" descr="Storytelling snapsh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Storytelling snapshot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00" cy="1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- Takes you to:</w:t>
      </w:r>
    </w:p>
    <w:p w14:paraId="1DFED3C9" w14:textId="449B920B" w:rsidR="005B012C" w:rsidRDefault="005B012C" w:rsidP="005B012C">
      <w:pPr>
        <w:pStyle w:val="QRGText"/>
      </w:pPr>
      <w:r w:rsidRPr="00FE618C">
        <w:rPr>
          <w:noProof/>
          <w:lang w:eastAsia="en-AU"/>
        </w:rPr>
        <w:drawing>
          <wp:inline distT="0" distB="0" distL="0" distR="0" wp14:anchorId="04BCC289" wp14:editId="587FA5CF">
            <wp:extent cx="1108800" cy="180000"/>
            <wp:effectExtent l="19050" t="19050" r="15240" b="10795"/>
            <wp:docPr id="224" name="Picture 224" title="Open Snapsho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800" cy="1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- Opens a list of all snapshots you have taken in the sheet so you can add them to your data presentation if needed.</w:t>
      </w:r>
    </w:p>
    <w:p w14:paraId="540F8063" w14:textId="1F3E7A41" w:rsidR="005B012C" w:rsidRDefault="005B012C" w:rsidP="005B012C">
      <w:pPr>
        <w:pStyle w:val="QRGText"/>
      </w:pPr>
      <w:r w:rsidRPr="00FE618C">
        <w:rPr>
          <w:noProof/>
          <w:lang w:eastAsia="en-AU"/>
        </w:rPr>
        <w:drawing>
          <wp:inline distT="0" distB="0" distL="0" distR="0" wp14:anchorId="3408DE33" wp14:editId="534128DC">
            <wp:extent cx="946800" cy="180000"/>
            <wp:effectExtent l="19050" t="19050" r="24765" b="10795"/>
            <wp:docPr id="476" name="Picture 476" title="Take Snap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800" cy="1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- Allows you to take a snapshot of the data that can then be used in a presentation you may wish to give about your data. For more information, see </w:t>
      </w:r>
      <w:r w:rsidRPr="00547C32">
        <w:rPr>
          <w:i/>
        </w:rPr>
        <w:t>Take Snapshots</w:t>
      </w:r>
      <w:r>
        <w:t xml:space="preserve"> in the </w:t>
      </w:r>
      <w:r w:rsidRPr="00A10845">
        <w:rPr>
          <w:i/>
        </w:rPr>
        <w:t>QLIK Health Service</w:t>
      </w:r>
      <w:r>
        <w:rPr>
          <w:i/>
        </w:rPr>
        <w:t xml:space="preserve"> nKPI Report</w:t>
      </w:r>
      <w:r>
        <w:t xml:space="preserve"> user guide.</w:t>
      </w:r>
    </w:p>
    <w:p w14:paraId="2A585473" w14:textId="77777777" w:rsidR="00C4770A" w:rsidRDefault="005B012C" w:rsidP="00C4770A">
      <w:pPr>
        <w:pStyle w:val="QRGText"/>
      </w:pPr>
      <w:r>
        <w:rPr>
          <w:noProof/>
        </w:rPr>
        <w:drawing>
          <wp:inline distT="0" distB="0" distL="0" distR="0" wp14:anchorId="1AB74ED5" wp14:editId="41C8D8D2">
            <wp:extent cx="759600" cy="180000"/>
            <wp:effectExtent l="19050" t="19050" r="21590" b="10795"/>
            <wp:docPr id="22" name="Picture 22" descr="Download 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Download as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600" cy="1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- </w:t>
      </w:r>
      <w:r w:rsidR="00C4770A" w:rsidRPr="0085020C">
        <w:rPr>
          <w:b/>
          <w:noProof/>
          <w:lang w:eastAsia="en-AU"/>
        </w:rPr>
        <w:t>Image</w:t>
      </w:r>
      <w:r w:rsidR="00C4770A">
        <w:t xml:space="preserve"> - Allows you to export the selected graph as an image so it can be downloaded and saved as required.</w:t>
      </w:r>
      <w:r w:rsidR="00C4770A" w:rsidRPr="00846981">
        <w:rPr>
          <w:noProof/>
          <w:lang w:eastAsia="en-AU"/>
        </w:rPr>
        <w:t xml:space="preserve"> </w:t>
      </w:r>
    </w:p>
    <w:p w14:paraId="19AC8CBB" w14:textId="35B082EC" w:rsidR="00C4770A" w:rsidRDefault="00C4770A" w:rsidP="00C4770A">
      <w:pPr>
        <w:pStyle w:val="QRGText"/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40FFBC0" wp14:editId="23FFFF25">
                <wp:simplePos x="0" y="0"/>
                <wp:positionH relativeFrom="column">
                  <wp:posOffset>2907030</wp:posOffset>
                </wp:positionH>
                <wp:positionV relativeFrom="paragraph">
                  <wp:posOffset>-1002030</wp:posOffset>
                </wp:positionV>
                <wp:extent cx="4147820" cy="520065"/>
                <wp:effectExtent l="0" t="0" r="0" b="0"/>
                <wp:wrapNone/>
                <wp:docPr id="25" name="Text Box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7820" cy="520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1E08A" w14:textId="772D9858" w:rsidR="00C4770A" w:rsidRPr="00984ADD" w:rsidRDefault="00C4770A" w:rsidP="00C4770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 xml:space="preserve">Get Started with the QLIK Health Service nKPI </w:t>
                            </w:r>
                            <w:r w:rsidR="00D76C3E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 xml:space="preserve">and OSR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 xml:space="preserve">Report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0FFBC0" id="Text Box 25" o:spid="_x0000_s1028" type="#_x0000_t202" alt="&quot;&quot;" style="position:absolute;margin-left:228.9pt;margin-top:-78.9pt;width:326.6pt;height:40.9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" filled="f" stroked="f">
                <v:textbox style="mso-fit-shape-to-text:t">
                  <w:txbxContent>
                    <w:p w14:paraId="6F81E08A" w14:textId="772D9858" w:rsidR="00C4770A" w:rsidRPr="00984ADD" w:rsidRDefault="00C4770A" w:rsidP="00C4770A">
                      <w:pPr>
                        <w:jc w:val="center"/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 xml:space="preserve">Get Started with the QLIK Health Service nKPI </w:t>
                      </w:r>
                      <w:r w:rsidR="00D76C3E"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 xml:space="preserve">and OSR </w:t>
                      </w:r>
                      <w:r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 xml:space="preserve">Report </w:t>
                      </w:r>
                    </w:p>
                  </w:txbxContent>
                </v:textbox>
              </v:shape>
            </w:pict>
          </mc:Fallback>
        </mc:AlternateContent>
      </w:r>
      <w:r w:rsidRPr="0067432C">
        <w:rPr>
          <w:b/>
          <w:noProof/>
          <w:lang w:eastAsia="en-AU"/>
        </w:rPr>
        <w:t>PDF</w:t>
      </w:r>
      <w:r>
        <w:t xml:space="preserve"> - Allows you to export the selected graph as a PDF document.</w:t>
      </w:r>
    </w:p>
    <w:p w14:paraId="4A15701B" w14:textId="6014E45D" w:rsidR="00B9512D" w:rsidRPr="00FE618C" w:rsidRDefault="00C4770A" w:rsidP="0051105A">
      <w:pPr>
        <w:pStyle w:val="QRGText"/>
      </w:pPr>
      <w:r>
        <w:rPr>
          <w:b/>
          <w:noProof/>
          <w:lang w:eastAsia="en-AU"/>
        </w:rPr>
        <w:t>D</w:t>
      </w:r>
      <w:r w:rsidRPr="0067432C">
        <w:rPr>
          <w:b/>
          <w:noProof/>
          <w:lang w:eastAsia="en-AU"/>
        </w:rPr>
        <w:t>ata</w:t>
      </w:r>
      <w:r>
        <w:t xml:space="preserve"> - Allows you to export the contents of the selected graph into an Excel spreadsheet.</w:t>
      </w:r>
      <w:r w:rsidR="005B012C">
        <w:t xml:space="preserve"> </w:t>
      </w:r>
    </w:p>
    <w:p w14:paraId="54B01721" w14:textId="1E2579FB" w:rsidR="0051105A" w:rsidRDefault="0051105A" w:rsidP="0051105A">
      <w:pPr>
        <w:pStyle w:val="QRGSubHeading"/>
        <w:rPr>
          <w:lang w:eastAsia="en-AU"/>
        </w:rPr>
      </w:pPr>
      <w:r>
        <w:rPr>
          <w:lang w:eastAsia="en-AU"/>
        </w:rPr>
        <w:t xml:space="preserve">The Shortcut Menu </w:t>
      </w:r>
    </w:p>
    <w:p w14:paraId="687EDD21" w14:textId="3520C096" w:rsidR="00C4770A" w:rsidRPr="00C4770A" w:rsidRDefault="00C4770A" w:rsidP="00C4770A">
      <w:pPr>
        <w:pStyle w:val="QRGPictureCentre"/>
      </w:pPr>
      <w:r>
        <w:drawing>
          <wp:inline distT="0" distB="0" distL="0" distR="0" wp14:anchorId="24BFFDB1" wp14:editId="5FC506D8">
            <wp:extent cx="3105150" cy="2324100"/>
            <wp:effectExtent l="19050" t="19050" r="19050" b="19050"/>
            <wp:docPr id="24" name="Picture 24" descr="picture of the shortcut m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picture of the shortcut menu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3241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6093775" w14:textId="3B91B136" w:rsidR="0051105A" w:rsidRDefault="00C4770A" w:rsidP="0051105A">
      <w:pPr>
        <w:pStyle w:val="QRGText"/>
      </w:pPr>
      <w:r>
        <w:t>The options available in the Shortcut menu are the same as those available through the Hover menu.</w:t>
      </w:r>
    </w:p>
    <w:sectPr w:rsidR="0051105A" w:rsidSect="00246C28">
      <w:headerReference w:type="default" r:id="rId34"/>
      <w:footerReference w:type="default" r:id="rId35"/>
      <w:type w:val="continuous"/>
      <w:pgSz w:w="11906" w:h="16838" w:code="9"/>
      <w:pgMar w:top="1985" w:right="849" w:bottom="851" w:left="567" w:header="284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0BE57" w14:textId="77777777" w:rsidR="000106CD" w:rsidRDefault="000106CD" w:rsidP="00AF798B">
      <w:pPr>
        <w:spacing w:before="0" w:after="0"/>
      </w:pPr>
      <w:r>
        <w:separator/>
      </w:r>
    </w:p>
    <w:p w14:paraId="45F2E360" w14:textId="77777777" w:rsidR="000106CD" w:rsidRDefault="000106CD"/>
  </w:endnote>
  <w:endnote w:type="continuationSeparator" w:id="0">
    <w:p w14:paraId="19AD803E" w14:textId="77777777" w:rsidR="000106CD" w:rsidRDefault="000106CD" w:rsidP="00AF798B">
      <w:pPr>
        <w:spacing w:before="0" w:after="0"/>
      </w:pPr>
      <w:r>
        <w:continuationSeparator/>
      </w:r>
    </w:p>
    <w:p w14:paraId="301D7A67" w14:textId="77777777" w:rsidR="000106CD" w:rsidRDefault="000106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4306530"/>
      <w:docPartObj>
        <w:docPartGallery w:val="Page Numbers (Bottom of Page)"/>
        <w:docPartUnique/>
      </w:docPartObj>
    </w:sdtPr>
    <w:sdtContent>
      <w:sdt>
        <w:sdtPr>
          <w:id w:val="-604115454"/>
          <w:docPartObj>
            <w:docPartGallery w:val="Page Numbers (Top of Page)"/>
            <w:docPartUnique/>
          </w:docPartObj>
        </w:sdtPr>
        <w:sdtContent>
          <w:p w14:paraId="0B07CE34" w14:textId="77777777" w:rsidR="00AF798B" w:rsidRDefault="00AF798B" w:rsidP="00AF798B">
            <w:pPr>
              <w:pStyle w:val="QRGFooter"/>
            </w:pPr>
            <w:r>
              <w:t xml:space="preserve">Page </w:t>
            </w:r>
            <w:r>
              <w:rPr>
                <w:sz w:val="24"/>
              </w:rPr>
              <w:fldChar w:fldCharType="begin"/>
            </w:r>
            <w:r>
              <w:instrText xml:space="preserve"> PAGE </w:instrText>
            </w:r>
            <w:r>
              <w:rPr>
                <w:sz w:val="24"/>
              </w:rPr>
              <w:fldChar w:fldCharType="separate"/>
            </w:r>
            <w:r w:rsidR="00A10845">
              <w:rPr>
                <w:noProof/>
              </w:rPr>
              <w:t>3</w:t>
            </w:r>
            <w:r>
              <w:rPr>
                <w:sz w:val="24"/>
              </w:rPr>
              <w:fldChar w:fldCharType="end"/>
            </w:r>
            <w:r>
              <w:t xml:space="preserve"> of </w:t>
            </w:r>
            <w:fldSimple w:instr=" NUMPAGES  ">
              <w:r w:rsidR="00A10845">
                <w:rPr>
                  <w:noProof/>
                </w:rPr>
                <w:t>3</w:t>
              </w:r>
            </w:fldSimple>
          </w:p>
        </w:sdtContent>
      </w:sdt>
    </w:sdtContent>
  </w:sdt>
  <w:p w14:paraId="457E5A36" w14:textId="77777777" w:rsidR="00AF798B" w:rsidRDefault="00AF79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ED5ED" w14:textId="77777777" w:rsidR="000106CD" w:rsidRDefault="000106CD" w:rsidP="00AF798B">
      <w:pPr>
        <w:spacing w:before="0" w:after="0"/>
      </w:pPr>
      <w:r>
        <w:separator/>
      </w:r>
    </w:p>
    <w:p w14:paraId="11519C9F" w14:textId="77777777" w:rsidR="000106CD" w:rsidRDefault="000106CD"/>
  </w:footnote>
  <w:footnote w:type="continuationSeparator" w:id="0">
    <w:p w14:paraId="24113564" w14:textId="77777777" w:rsidR="000106CD" w:rsidRDefault="000106CD" w:rsidP="00AF798B">
      <w:pPr>
        <w:spacing w:before="0" w:after="0"/>
      </w:pPr>
      <w:r>
        <w:continuationSeparator/>
      </w:r>
    </w:p>
    <w:p w14:paraId="4339F96C" w14:textId="77777777" w:rsidR="000106CD" w:rsidRDefault="000106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89762" w14:textId="0E7BC969" w:rsidR="00AF798B" w:rsidRPr="000767A1" w:rsidRDefault="006F1FAD" w:rsidP="000767A1">
    <w:pPr>
      <w:pStyle w:val="QRGheadergood"/>
    </w:pPr>
    <w:r>
      <w:drawing>
        <wp:anchor distT="0" distB="0" distL="114300" distR="114300" simplePos="0" relativeHeight="251659264" behindDoc="0" locked="0" layoutInCell="1" allowOverlap="1" wp14:anchorId="3DEA864E" wp14:editId="5AACC60F">
          <wp:simplePos x="0" y="0"/>
          <wp:positionH relativeFrom="column">
            <wp:posOffset>-160020</wp:posOffset>
          </wp:positionH>
          <wp:positionV relativeFrom="paragraph">
            <wp:posOffset>38735</wp:posOffset>
          </wp:positionV>
          <wp:extent cx="2468880" cy="744855"/>
          <wp:effectExtent l="0" t="0" r="7620" b="0"/>
          <wp:wrapSquare wrapText="bothSides"/>
          <wp:docPr id="3" name="Picture 3" descr="picture of the Department of Health and Aged Care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picture of the Department of Health and Aged Care cres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8880" cy="744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5F89" w:rsidRPr="000628A2">
      <w:drawing>
        <wp:anchor distT="0" distB="0" distL="114300" distR="114300" simplePos="0" relativeHeight="251658240" behindDoc="0" locked="0" layoutInCell="1" allowOverlap="1" wp14:anchorId="5648C140" wp14:editId="402AA039">
          <wp:simplePos x="0" y="0"/>
          <wp:positionH relativeFrom="column">
            <wp:posOffset>-352425</wp:posOffset>
          </wp:positionH>
          <wp:positionV relativeFrom="paragraph">
            <wp:posOffset>-162560</wp:posOffset>
          </wp:positionV>
          <wp:extent cx="7534275" cy="1045845"/>
          <wp:effectExtent l="19050" t="19050" r="28575" b="20955"/>
          <wp:wrapNone/>
          <wp:docPr id="2" name="Picture 2" descr="Top banner showing the Department of Health crest and the &quot;Get Started with IHDR Interactive Reports in QLIK&quot; 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ocuments\12668 Health Data Portal web banner DESIGN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45845"/>
                  </a:xfrm>
                  <a:prstGeom prst="rect">
                    <a:avLst/>
                  </a:prstGeom>
                  <a:noFill/>
                  <a:ln>
                    <a:solidFill>
                      <a:sysClr val="windowText" lastClr="000000">
                        <a:alpha val="40000"/>
                      </a:sysClr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alt="Title: Open Exploration Menu" style="width:12.95pt;height:13.4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" o:bullet="t">
        <v:imagedata r:id="rId1" o:title="" cropbottom="-244f"/>
      </v:shape>
    </w:pict>
  </w:numPicBullet>
  <w:numPicBullet w:numPicBulletId="1">
    <w:pict>
      <v:shape id="_x0000_i1042" type="#_x0000_t75" alt="Title: Full Screen" style="width:14.4pt;height:13.9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" o:bullet="t">
        <v:imagedata r:id="rId2" o:title="" cropbottom="-1179f" cropright="-227f"/>
      </v:shape>
    </w:pict>
  </w:numPicBullet>
  <w:numPicBullet w:numPicBulletId="2">
    <w:pict>
      <v:shape id="_x0000_i1043" type="#_x0000_t75" style="width:38.25pt;height:38.25pt;visibility:visible;mso-wrap-style:square" o:bullet="t">
        <v:imagedata r:id="rId3" o:title=""/>
      </v:shape>
    </w:pict>
  </w:numPicBullet>
  <w:numPicBullet w:numPicBulletId="3">
    <w:pict>
      <v:shape id="_x0000_i1044" type="#_x0000_t75" alt="Title: the Full Screen button" style="width:15.35pt;height:13.9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" o:bullet="t">
        <v:imagedata r:id="rId4" o:title="" cropbottom="-1179f"/>
      </v:shape>
    </w:pict>
  </w:numPicBullet>
  <w:numPicBullet w:numPicBulletId="4">
    <w:pict>
      <v:shape id="_x0000_i1045" type="#_x0000_t75" alt="More" style="width:24.75pt;height:24.75pt;visibility:visible;mso-wrap-style:square" o:bullet="t">
        <v:imagedata r:id="rId5" o:title="More"/>
      </v:shape>
    </w:pict>
  </w:numPicBullet>
  <w:abstractNum w:abstractNumId="0" w15:restartNumberingAfterBreak="0">
    <w:nsid w:val="FFFFFF7C"/>
    <w:multiLevelType w:val="singleLevel"/>
    <w:tmpl w:val="1862B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5656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86A8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96EF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DE15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7453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E65A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00B6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A29F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FECF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D02B55"/>
    <w:multiLevelType w:val="hybridMultilevel"/>
    <w:tmpl w:val="150259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F051E"/>
    <w:multiLevelType w:val="hybridMultilevel"/>
    <w:tmpl w:val="DD8E167C"/>
    <w:lvl w:ilvl="0" w:tplc="0882E5CE">
      <w:start w:val="1"/>
      <w:numFmt w:val="decimal"/>
      <w:pStyle w:val="QRGNumbering1"/>
      <w:lvlText w:val="%1."/>
      <w:lvlJc w:val="left"/>
      <w:pPr>
        <w:ind w:left="720" w:hanging="360"/>
      </w:pPr>
    </w:lvl>
    <w:lvl w:ilvl="1" w:tplc="3F4CD4FA">
      <w:start w:val="1"/>
      <w:numFmt w:val="lowerLetter"/>
      <w:pStyle w:val="QRGNumbering2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82EC8"/>
    <w:multiLevelType w:val="hybridMultilevel"/>
    <w:tmpl w:val="53AA2A2E"/>
    <w:lvl w:ilvl="0" w:tplc="7CC2B6B4">
      <w:start w:val="1"/>
      <w:numFmt w:val="bullet"/>
      <w:pStyle w:val="QRG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C3C5A"/>
    <w:multiLevelType w:val="hybridMultilevel"/>
    <w:tmpl w:val="03B0F1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1638D7"/>
    <w:multiLevelType w:val="hybridMultilevel"/>
    <w:tmpl w:val="9F24C984"/>
    <w:lvl w:ilvl="0" w:tplc="7CC2B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E8A0F6">
      <w:start w:val="1"/>
      <w:numFmt w:val="bullet"/>
      <w:pStyle w:val="QRGBullet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BB1212"/>
    <w:multiLevelType w:val="hybridMultilevel"/>
    <w:tmpl w:val="F46EA654"/>
    <w:lvl w:ilvl="0" w:tplc="0B9A812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595651">
    <w:abstractNumId w:val="12"/>
  </w:num>
  <w:num w:numId="2" w16cid:durableId="2098474771">
    <w:abstractNumId w:val="11"/>
  </w:num>
  <w:num w:numId="3" w16cid:durableId="1401055150">
    <w:abstractNumId w:val="14"/>
  </w:num>
  <w:num w:numId="4" w16cid:durableId="1136415632">
    <w:abstractNumId w:val="11"/>
    <w:lvlOverride w:ilvl="0">
      <w:startOverride w:val="1"/>
    </w:lvlOverride>
  </w:num>
  <w:num w:numId="5" w16cid:durableId="1792048357">
    <w:abstractNumId w:val="11"/>
    <w:lvlOverride w:ilvl="0">
      <w:startOverride w:val="1"/>
    </w:lvlOverride>
  </w:num>
  <w:num w:numId="6" w16cid:durableId="1344016339">
    <w:abstractNumId w:val="11"/>
    <w:lvlOverride w:ilvl="0">
      <w:startOverride w:val="1"/>
    </w:lvlOverride>
  </w:num>
  <w:num w:numId="7" w16cid:durableId="664893859">
    <w:abstractNumId w:val="9"/>
  </w:num>
  <w:num w:numId="8" w16cid:durableId="478889887">
    <w:abstractNumId w:val="7"/>
  </w:num>
  <w:num w:numId="9" w16cid:durableId="1243104193">
    <w:abstractNumId w:val="6"/>
  </w:num>
  <w:num w:numId="10" w16cid:durableId="1289048690">
    <w:abstractNumId w:val="5"/>
  </w:num>
  <w:num w:numId="11" w16cid:durableId="142088228">
    <w:abstractNumId w:val="4"/>
  </w:num>
  <w:num w:numId="12" w16cid:durableId="689181044">
    <w:abstractNumId w:val="8"/>
  </w:num>
  <w:num w:numId="13" w16cid:durableId="199517415">
    <w:abstractNumId w:val="3"/>
  </w:num>
  <w:num w:numId="14" w16cid:durableId="818811959">
    <w:abstractNumId w:val="2"/>
  </w:num>
  <w:num w:numId="15" w16cid:durableId="1654722524">
    <w:abstractNumId w:val="1"/>
  </w:num>
  <w:num w:numId="16" w16cid:durableId="1941257407">
    <w:abstractNumId w:val="0"/>
  </w:num>
  <w:num w:numId="17" w16cid:durableId="477042260">
    <w:abstractNumId w:val="11"/>
    <w:lvlOverride w:ilvl="0">
      <w:startOverride w:val="1"/>
    </w:lvlOverride>
  </w:num>
  <w:num w:numId="18" w16cid:durableId="95947043">
    <w:abstractNumId w:val="15"/>
  </w:num>
  <w:num w:numId="19" w16cid:durableId="760024515">
    <w:abstractNumId w:val="13"/>
  </w:num>
  <w:num w:numId="20" w16cid:durableId="1388147622">
    <w:abstractNumId w:val="11"/>
    <w:lvlOverride w:ilvl="0">
      <w:startOverride w:val="1"/>
    </w:lvlOverride>
  </w:num>
  <w:num w:numId="21" w16cid:durableId="1218007191">
    <w:abstractNumId w:val="11"/>
    <w:lvlOverride w:ilvl="0">
      <w:startOverride w:val="1"/>
    </w:lvlOverride>
  </w:num>
  <w:num w:numId="22" w16cid:durableId="1613979677">
    <w:abstractNumId w:val="10"/>
  </w:num>
  <w:num w:numId="23" w16cid:durableId="732969866">
    <w:abstractNumId w:val="11"/>
  </w:num>
  <w:num w:numId="24" w16cid:durableId="970211238">
    <w:abstractNumId w:val="11"/>
  </w:num>
  <w:num w:numId="25" w16cid:durableId="1284196521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DD5"/>
    <w:rsid w:val="00003743"/>
    <w:rsid w:val="000106CD"/>
    <w:rsid w:val="000143D0"/>
    <w:rsid w:val="00023DBC"/>
    <w:rsid w:val="00056198"/>
    <w:rsid w:val="00060DD5"/>
    <w:rsid w:val="00065FA3"/>
    <w:rsid w:val="00067456"/>
    <w:rsid w:val="000715CC"/>
    <w:rsid w:val="000767A1"/>
    <w:rsid w:val="000A4A29"/>
    <w:rsid w:val="000C1236"/>
    <w:rsid w:val="000C7BD5"/>
    <w:rsid w:val="000D5A18"/>
    <w:rsid w:val="000D7CAC"/>
    <w:rsid w:val="000E3CDD"/>
    <w:rsid w:val="000E5B87"/>
    <w:rsid w:val="0012396B"/>
    <w:rsid w:val="00123E4A"/>
    <w:rsid w:val="00135C0E"/>
    <w:rsid w:val="00161BF6"/>
    <w:rsid w:val="001676FE"/>
    <w:rsid w:val="00177493"/>
    <w:rsid w:val="00180568"/>
    <w:rsid w:val="001B3443"/>
    <w:rsid w:val="001D68A7"/>
    <w:rsid w:val="001E1CEB"/>
    <w:rsid w:val="00200606"/>
    <w:rsid w:val="0020471D"/>
    <w:rsid w:val="00206DAB"/>
    <w:rsid w:val="00212C60"/>
    <w:rsid w:val="00217024"/>
    <w:rsid w:val="00246C28"/>
    <w:rsid w:val="00267D0D"/>
    <w:rsid w:val="0028721B"/>
    <w:rsid w:val="002A410C"/>
    <w:rsid w:val="002A5E9A"/>
    <w:rsid w:val="002C781F"/>
    <w:rsid w:val="002E4840"/>
    <w:rsid w:val="0030786C"/>
    <w:rsid w:val="00313943"/>
    <w:rsid w:val="00316F6F"/>
    <w:rsid w:val="00317150"/>
    <w:rsid w:val="00323524"/>
    <w:rsid w:val="00324988"/>
    <w:rsid w:val="00350952"/>
    <w:rsid w:val="00366137"/>
    <w:rsid w:val="003B6B7A"/>
    <w:rsid w:val="003D17F9"/>
    <w:rsid w:val="003D3A1F"/>
    <w:rsid w:val="003E587E"/>
    <w:rsid w:val="003F26C8"/>
    <w:rsid w:val="00407284"/>
    <w:rsid w:val="0041771E"/>
    <w:rsid w:val="00436FCD"/>
    <w:rsid w:val="00437450"/>
    <w:rsid w:val="004422C1"/>
    <w:rsid w:val="00483DCA"/>
    <w:rsid w:val="004854DB"/>
    <w:rsid w:val="004867E2"/>
    <w:rsid w:val="0049218D"/>
    <w:rsid w:val="00496C90"/>
    <w:rsid w:val="004B0826"/>
    <w:rsid w:val="004B79F9"/>
    <w:rsid w:val="004D3A7D"/>
    <w:rsid w:val="004D440D"/>
    <w:rsid w:val="005078FB"/>
    <w:rsid w:val="0051105A"/>
    <w:rsid w:val="005128F1"/>
    <w:rsid w:val="005255F0"/>
    <w:rsid w:val="00527708"/>
    <w:rsid w:val="0053010E"/>
    <w:rsid w:val="005473DD"/>
    <w:rsid w:val="00547C32"/>
    <w:rsid w:val="0057671C"/>
    <w:rsid w:val="0058246F"/>
    <w:rsid w:val="0058320B"/>
    <w:rsid w:val="005945AE"/>
    <w:rsid w:val="005B012C"/>
    <w:rsid w:val="005D3802"/>
    <w:rsid w:val="005D621D"/>
    <w:rsid w:val="005D7D5E"/>
    <w:rsid w:val="00607DF1"/>
    <w:rsid w:val="0062072E"/>
    <w:rsid w:val="006367A4"/>
    <w:rsid w:val="00651D2C"/>
    <w:rsid w:val="00663407"/>
    <w:rsid w:val="00665D42"/>
    <w:rsid w:val="0067432C"/>
    <w:rsid w:val="006959F8"/>
    <w:rsid w:val="006B416B"/>
    <w:rsid w:val="006C50FC"/>
    <w:rsid w:val="006E1C79"/>
    <w:rsid w:val="006F1FAD"/>
    <w:rsid w:val="006F412B"/>
    <w:rsid w:val="00705BE7"/>
    <w:rsid w:val="007111DC"/>
    <w:rsid w:val="0072240C"/>
    <w:rsid w:val="00730263"/>
    <w:rsid w:val="00734F62"/>
    <w:rsid w:val="00734F95"/>
    <w:rsid w:val="00744B1C"/>
    <w:rsid w:val="007709C2"/>
    <w:rsid w:val="00775612"/>
    <w:rsid w:val="0078416B"/>
    <w:rsid w:val="007903F7"/>
    <w:rsid w:val="00792542"/>
    <w:rsid w:val="00793165"/>
    <w:rsid w:val="007A7630"/>
    <w:rsid w:val="007B21B7"/>
    <w:rsid w:val="007B4C83"/>
    <w:rsid w:val="007C4D6B"/>
    <w:rsid w:val="007D6E87"/>
    <w:rsid w:val="007D7297"/>
    <w:rsid w:val="007F6326"/>
    <w:rsid w:val="008124D5"/>
    <w:rsid w:val="008201F9"/>
    <w:rsid w:val="008215DE"/>
    <w:rsid w:val="008251C5"/>
    <w:rsid w:val="008264EB"/>
    <w:rsid w:val="00846981"/>
    <w:rsid w:val="0085020C"/>
    <w:rsid w:val="0086094A"/>
    <w:rsid w:val="00862121"/>
    <w:rsid w:val="00867F5E"/>
    <w:rsid w:val="00870FC6"/>
    <w:rsid w:val="00871C17"/>
    <w:rsid w:val="00874EEC"/>
    <w:rsid w:val="00883AB8"/>
    <w:rsid w:val="00891B85"/>
    <w:rsid w:val="008B186D"/>
    <w:rsid w:val="008C6729"/>
    <w:rsid w:val="008D22B5"/>
    <w:rsid w:val="008D5CEF"/>
    <w:rsid w:val="008E0236"/>
    <w:rsid w:val="008E03F3"/>
    <w:rsid w:val="008F08FE"/>
    <w:rsid w:val="008F5D8E"/>
    <w:rsid w:val="008F7696"/>
    <w:rsid w:val="009331AA"/>
    <w:rsid w:val="00935AE6"/>
    <w:rsid w:val="00942E04"/>
    <w:rsid w:val="00943865"/>
    <w:rsid w:val="00943B48"/>
    <w:rsid w:val="0096553C"/>
    <w:rsid w:val="00980002"/>
    <w:rsid w:val="0098797A"/>
    <w:rsid w:val="009B3E82"/>
    <w:rsid w:val="009B6F9D"/>
    <w:rsid w:val="009C621E"/>
    <w:rsid w:val="009C7B7B"/>
    <w:rsid w:val="009D0B5E"/>
    <w:rsid w:val="009D7107"/>
    <w:rsid w:val="00A10845"/>
    <w:rsid w:val="00A261A0"/>
    <w:rsid w:val="00A4512D"/>
    <w:rsid w:val="00A6070D"/>
    <w:rsid w:val="00A705AF"/>
    <w:rsid w:val="00AA38A5"/>
    <w:rsid w:val="00AD1CD6"/>
    <w:rsid w:val="00AE57CC"/>
    <w:rsid w:val="00AE7924"/>
    <w:rsid w:val="00AF798B"/>
    <w:rsid w:val="00B015FC"/>
    <w:rsid w:val="00B13265"/>
    <w:rsid w:val="00B16C9A"/>
    <w:rsid w:val="00B42851"/>
    <w:rsid w:val="00B5132B"/>
    <w:rsid w:val="00B557CD"/>
    <w:rsid w:val="00B760CA"/>
    <w:rsid w:val="00B82F72"/>
    <w:rsid w:val="00B9512D"/>
    <w:rsid w:val="00B96C02"/>
    <w:rsid w:val="00BA4FF0"/>
    <w:rsid w:val="00BB53A9"/>
    <w:rsid w:val="00BD0242"/>
    <w:rsid w:val="00BD17B1"/>
    <w:rsid w:val="00BF7C92"/>
    <w:rsid w:val="00C0003D"/>
    <w:rsid w:val="00C0485A"/>
    <w:rsid w:val="00C41EB4"/>
    <w:rsid w:val="00C43FFA"/>
    <w:rsid w:val="00C4770A"/>
    <w:rsid w:val="00C50451"/>
    <w:rsid w:val="00C613AC"/>
    <w:rsid w:val="00C84175"/>
    <w:rsid w:val="00C950CF"/>
    <w:rsid w:val="00C9663F"/>
    <w:rsid w:val="00CA5F89"/>
    <w:rsid w:val="00CB16B4"/>
    <w:rsid w:val="00CB5B1A"/>
    <w:rsid w:val="00CC48E9"/>
    <w:rsid w:val="00CF536F"/>
    <w:rsid w:val="00D14831"/>
    <w:rsid w:val="00D32FC2"/>
    <w:rsid w:val="00D53109"/>
    <w:rsid w:val="00D54EBD"/>
    <w:rsid w:val="00D562A7"/>
    <w:rsid w:val="00D66381"/>
    <w:rsid w:val="00D76C3E"/>
    <w:rsid w:val="00D77A10"/>
    <w:rsid w:val="00D9107B"/>
    <w:rsid w:val="00DB4B19"/>
    <w:rsid w:val="00DC70BE"/>
    <w:rsid w:val="00DD7877"/>
    <w:rsid w:val="00DE5468"/>
    <w:rsid w:val="00DF189B"/>
    <w:rsid w:val="00DF6B0E"/>
    <w:rsid w:val="00E03212"/>
    <w:rsid w:val="00E15715"/>
    <w:rsid w:val="00E1649D"/>
    <w:rsid w:val="00E2569B"/>
    <w:rsid w:val="00E3188A"/>
    <w:rsid w:val="00E33943"/>
    <w:rsid w:val="00E42A6B"/>
    <w:rsid w:val="00E5029B"/>
    <w:rsid w:val="00E54022"/>
    <w:rsid w:val="00E55345"/>
    <w:rsid w:val="00E91BDA"/>
    <w:rsid w:val="00EB6A7A"/>
    <w:rsid w:val="00EC31BE"/>
    <w:rsid w:val="00ED4F1B"/>
    <w:rsid w:val="00F1340C"/>
    <w:rsid w:val="00F31556"/>
    <w:rsid w:val="00F3759F"/>
    <w:rsid w:val="00F5683D"/>
    <w:rsid w:val="00F72408"/>
    <w:rsid w:val="00F735B2"/>
    <w:rsid w:val="00F94100"/>
    <w:rsid w:val="00FA6209"/>
    <w:rsid w:val="00FB0B15"/>
    <w:rsid w:val="00FB4582"/>
    <w:rsid w:val="00FB78B2"/>
    <w:rsid w:val="00FE56E8"/>
    <w:rsid w:val="00FE618C"/>
    <w:rsid w:val="00FE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47BFF5"/>
  <w15:docId w15:val="{6821021A-C1C4-40F7-B80E-DE51D2E1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36F"/>
    <w:pPr>
      <w:spacing w:before="120" w:after="120"/>
    </w:pPr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RGPictureCentre">
    <w:name w:val="QRG Picture Centre"/>
    <w:next w:val="QRGText"/>
    <w:qFormat/>
    <w:rsid w:val="00705BE7"/>
    <w:pPr>
      <w:spacing w:before="60" w:after="60"/>
      <w:jc w:val="center"/>
    </w:pPr>
    <w:rPr>
      <w:rFonts w:ascii="Tahoma" w:hAnsi="Tahoma"/>
      <w:noProof/>
      <w:sz w:val="22"/>
      <w:szCs w:val="24"/>
    </w:rPr>
  </w:style>
  <w:style w:type="paragraph" w:styleId="BalloonText">
    <w:name w:val="Balloon Text"/>
    <w:basedOn w:val="Normal"/>
    <w:link w:val="BalloonTextChar"/>
    <w:rsid w:val="003D3A1F"/>
    <w:pPr>
      <w:spacing w:before="0"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3A1F"/>
    <w:rPr>
      <w:rFonts w:ascii="Tahoma" w:hAnsi="Tahoma" w:cs="Tahoma"/>
      <w:sz w:val="16"/>
      <w:szCs w:val="16"/>
      <w:lang w:eastAsia="en-US"/>
    </w:rPr>
  </w:style>
  <w:style w:type="paragraph" w:customStyle="1" w:styleId="QRGPictureLeft">
    <w:name w:val="QRG Picture Left"/>
    <w:next w:val="QRGText"/>
    <w:qFormat/>
    <w:rsid w:val="00705BE7"/>
    <w:pPr>
      <w:spacing w:before="60" w:after="60"/>
    </w:pPr>
    <w:rPr>
      <w:rFonts w:ascii="Tahoma" w:hAnsi="Tahoma"/>
      <w:noProof/>
      <w:sz w:val="22"/>
      <w:szCs w:val="24"/>
    </w:rPr>
  </w:style>
  <w:style w:type="paragraph" w:customStyle="1" w:styleId="QRGPictureRight">
    <w:name w:val="QRG Picture Right"/>
    <w:next w:val="QRGText"/>
    <w:qFormat/>
    <w:rsid w:val="00607DF1"/>
    <w:pPr>
      <w:spacing w:before="60" w:after="60"/>
    </w:pPr>
    <w:rPr>
      <w:rFonts w:ascii="Tahoma" w:hAnsi="Tahoma"/>
      <w:noProof/>
      <w:sz w:val="22"/>
      <w:szCs w:val="24"/>
    </w:rPr>
  </w:style>
  <w:style w:type="paragraph" w:customStyle="1" w:styleId="QRGTableTextCentre">
    <w:name w:val="QRG Table Text Centre"/>
    <w:basedOn w:val="QRGText"/>
    <w:qFormat/>
    <w:rsid w:val="00607DF1"/>
    <w:pPr>
      <w:jc w:val="center"/>
    </w:pPr>
  </w:style>
  <w:style w:type="paragraph" w:customStyle="1" w:styleId="QRGTableTextLeft">
    <w:name w:val="QRG Table Text Left"/>
    <w:basedOn w:val="QRGText"/>
    <w:qFormat/>
    <w:rsid w:val="00607DF1"/>
  </w:style>
  <w:style w:type="paragraph" w:customStyle="1" w:styleId="QRGTabelTextRight">
    <w:name w:val="QRG Tabel Text Right"/>
    <w:basedOn w:val="QRGText"/>
    <w:qFormat/>
    <w:rsid w:val="00607DF1"/>
    <w:pPr>
      <w:jc w:val="right"/>
    </w:pPr>
  </w:style>
  <w:style w:type="paragraph" w:customStyle="1" w:styleId="QRGSubHeading">
    <w:name w:val="QRG Sub Heading"/>
    <w:next w:val="QRGText"/>
    <w:rsid w:val="0086094A"/>
    <w:pPr>
      <w:spacing w:before="120" w:after="60"/>
    </w:pPr>
    <w:rPr>
      <w:rFonts w:ascii="Tahoma" w:hAnsi="Tahoma"/>
      <w:b/>
      <w:bCs/>
      <w:color w:val="00206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793165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93165"/>
    <w:rPr>
      <w:rFonts w:ascii="Tahoma" w:hAnsi="Tahoma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135C0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135C0E"/>
    <w:rPr>
      <w:rFonts w:ascii="Tahoma" w:hAnsi="Tahoma"/>
      <w:sz w:val="24"/>
      <w:szCs w:val="24"/>
      <w:lang w:eastAsia="en-US"/>
    </w:rPr>
  </w:style>
  <w:style w:type="paragraph" w:customStyle="1" w:styleId="QRGFooter">
    <w:name w:val="QRG Footer"/>
    <w:qFormat/>
    <w:rsid w:val="00F735B2"/>
    <w:pPr>
      <w:jc w:val="right"/>
    </w:pPr>
    <w:rPr>
      <w:rFonts w:ascii="Tahoma" w:hAnsi="Tahoma"/>
      <w:szCs w:val="24"/>
      <w:lang w:eastAsia="en-US"/>
    </w:rPr>
  </w:style>
  <w:style w:type="paragraph" w:customStyle="1" w:styleId="QRGHeaderText">
    <w:name w:val="QRG Header Text"/>
    <w:qFormat/>
    <w:rsid w:val="00EB6A7A"/>
    <w:pPr>
      <w:tabs>
        <w:tab w:val="left" w:pos="6237"/>
      </w:tabs>
      <w:spacing w:before="120" w:after="120"/>
    </w:pPr>
    <w:rPr>
      <w:rFonts w:ascii="Tahoma" w:hAnsi="Tahoma"/>
      <w:position w:val="6"/>
      <w:sz w:val="36"/>
      <w:szCs w:val="24"/>
      <w:lang w:eastAsia="en-US"/>
    </w:rPr>
  </w:style>
  <w:style w:type="paragraph" w:customStyle="1" w:styleId="QRGMainPicture">
    <w:name w:val="QRG Main Picture"/>
    <w:qFormat/>
    <w:rsid w:val="00056198"/>
    <w:pPr>
      <w:spacing w:before="120" w:after="120"/>
      <w:jc w:val="center"/>
    </w:pPr>
    <w:rPr>
      <w:sz w:val="24"/>
      <w:szCs w:val="24"/>
      <w:lang w:eastAsia="en-US"/>
    </w:rPr>
  </w:style>
  <w:style w:type="paragraph" w:customStyle="1" w:styleId="QRGHeading">
    <w:name w:val="QRG Heading"/>
    <w:next w:val="Normal"/>
    <w:qFormat/>
    <w:rsid w:val="00942E04"/>
    <w:pPr>
      <w:pBdr>
        <w:top w:val="single" w:sz="8" w:space="1" w:color="1F497D" w:themeColor="text2"/>
        <w:left w:val="single" w:sz="8" w:space="4" w:color="1F497D" w:themeColor="text2"/>
        <w:bottom w:val="single" w:sz="8" w:space="1" w:color="1F497D" w:themeColor="text2"/>
        <w:right w:val="single" w:sz="8" w:space="4" w:color="1F497D" w:themeColor="text2"/>
      </w:pBdr>
      <w:shd w:val="clear" w:color="auto" w:fill="1F497D" w:themeFill="text2"/>
    </w:pPr>
    <w:rPr>
      <w:rFonts w:ascii="Tahoma" w:hAnsi="Tahoma"/>
      <w:b/>
      <w:color w:val="FFFFFF" w:themeColor="background1"/>
      <w:sz w:val="24"/>
      <w:szCs w:val="24"/>
      <w:lang w:eastAsia="en-US"/>
    </w:rPr>
  </w:style>
  <w:style w:type="paragraph" w:customStyle="1" w:styleId="QRGText">
    <w:name w:val="QRG Text"/>
    <w:qFormat/>
    <w:rsid w:val="00056198"/>
    <w:pPr>
      <w:spacing w:before="60" w:after="60"/>
    </w:pPr>
    <w:rPr>
      <w:rFonts w:ascii="Tahoma" w:hAnsi="Tahoma"/>
      <w:sz w:val="22"/>
      <w:szCs w:val="24"/>
      <w:lang w:eastAsia="en-US"/>
    </w:rPr>
  </w:style>
  <w:style w:type="paragraph" w:customStyle="1" w:styleId="QRGBullet1">
    <w:name w:val="QRG Bullet 1"/>
    <w:link w:val="QRGBullet1Char"/>
    <w:qFormat/>
    <w:rsid w:val="0057671C"/>
    <w:pPr>
      <w:numPr>
        <w:numId w:val="1"/>
      </w:numPr>
      <w:spacing w:before="60" w:after="60"/>
      <w:ind w:left="567" w:hanging="425"/>
    </w:pPr>
    <w:rPr>
      <w:rFonts w:ascii="Tahoma" w:hAnsi="Tahoma"/>
      <w:sz w:val="22"/>
      <w:szCs w:val="24"/>
      <w:lang w:eastAsia="en-US"/>
    </w:rPr>
  </w:style>
  <w:style w:type="paragraph" w:customStyle="1" w:styleId="QRGNumbering1">
    <w:name w:val="QRG Numbering 1"/>
    <w:link w:val="QRGNumbering1Char"/>
    <w:qFormat/>
    <w:rsid w:val="0057671C"/>
    <w:pPr>
      <w:numPr>
        <w:numId w:val="2"/>
      </w:numPr>
      <w:spacing w:before="60" w:after="60"/>
    </w:pPr>
    <w:rPr>
      <w:rFonts w:ascii="Tahoma" w:hAnsi="Tahoma"/>
      <w:sz w:val="22"/>
      <w:szCs w:val="24"/>
      <w:lang w:eastAsia="en-US"/>
    </w:rPr>
  </w:style>
  <w:style w:type="table" w:styleId="TableGrid">
    <w:name w:val="Table Grid"/>
    <w:basedOn w:val="TableNormal"/>
    <w:rsid w:val="00DF1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RGTableHeading">
    <w:name w:val="QRG Table Heading"/>
    <w:qFormat/>
    <w:rsid w:val="00DF189B"/>
    <w:pPr>
      <w:spacing w:before="60" w:after="60"/>
      <w:jc w:val="center"/>
    </w:pPr>
    <w:rPr>
      <w:rFonts w:ascii="Tahoma" w:hAnsi="Tahoma"/>
      <w:b/>
      <w:sz w:val="22"/>
      <w:szCs w:val="24"/>
      <w:lang w:eastAsia="en-US"/>
    </w:rPr>
  </w:style>
  <w:style w:type="paragraph" w:customStyle="1" w:styleId="QRGAfterTableSpace">
    <w:name w:val="QRG After Table Space"/>
    <w:next w:val="QRGText"/>
    <w:qFormat/>
    <w:rsid w:val="00D53109"/>
    <w:rPr>
      <w:rFonts w:ascii="Tahoma" w:hAnsi="Tahoma"/>
      <w:sz w:val="12"/>
      <w:szCs w:val="24"/>
      <w:lang w:eastAsia="en-US"/>
    </w:rPr>
  </w:style>
  <w:style w:type="paragraph" w:customStyle="1" w:styleId="QRGNumbering2">
    <w:name w:val="QRG Numbering 2"/>
    <w:link w:val="QRGNumbering2Char"/>
    <w:qFormat/>
    <w:rsid w:val="0058320B"/>
    <w:pPr>
      <w:numPr>
        <w:ilvl w:val="1"/>
        <w:numId w:val="2"/>
      </w:numPr>
      <w:spacing w:before="60" w:after="60"/>
      <w:ind w:left="992" w:hanging="425"/>
    </w:pPr>
    <w:rPr>
      <w:rFonts w:ascii="Tahoma" w:hAnsi="Tahoma"/>
      <w:sz w:val="22"/>
      <w:szCs w:val="24"/>
      <w:lang w:eastAsia="en-US"/>
    </w:rPr>
  </w:style>
  <w:style w:type="paragraph" w:customStyle="1" w:styleId="QRGBullet2">
    <w:name w:val="QRG Bullet 2"/>
    <w:link w:val="QRGBullet2Char"/>
    <w:qFormat/>
    <w:rsid w:val="0058320B"/>
    <w:pPr>
      <w:numPr>
        <w:ilvl w:val="1"/>
        <w:numId w:val="3"/>
      </w:numPr>
      <w:spacing w:before="60" w:after="60"/>
      <w:ind w:left="992" w:hanging="425"/>
    </w:pPr>
    <w:rPr>
      <w:rFonts w:ascii="Tahoma" w:hAnsi="Tahoma"/>
      <w:sz w:val="22"/>
      <w:szCs w:val="24"/>
      <w:lang w:eastAsia="en-US"/>
    </w:rPr>
  </w:style>
  <w:style w:type="character" w:customStyle="1" w:styleId="QRGNumbering1Char">
    <w:name w:val="QRG Numbering 1 Char"/>
    <w:basedOn w:val="DefaultParagraphFont"/>
    <w:link w:val="QRGNumbering1"/>
    <w:rsid w:val="0058320B"/>
    <w:rPr>
      <w:rFonts w:ascii="Tahoma" w:hAnsi="Tahoma"/>
      <w:sz w:val="22"/>
      <w:szCs w:val="24"/>
      <w:lang w:eastAsia="en-US"/>
    </w:rPr>
  </w:style>
  <w:style w:type="character" w:customStyle="1" w:styleId="QRGNumbering2Char">
    <w:name w:val="QRG Numbering 2 Char"/>
    <w:basedOn w:val="QRGNumbering1Char"/>
    <w:link w:val="QRGNumbering2"/>
    <w:rsid w:val="0058320B"/>
    <w:rPr>
      <w:rFonts w:ascii="Tahoma" w:hAnsi="Tahoma"/>
      <w:sz w:val="22"/>
      <w:szCs w:val="24"/>
      <w:lang w:eastAsia="en-US"/>
    </w:rPr>
  </w:style>
  <w:style w:type="character" w:customStyle="1" w:styleId="QRGBullet1Char">
    <w:name w:val="QRG Bullet 1 Char"/>
    <w:basedOn w:val="DefaultParagraphFont"/>
    <w:link w:val="QRGBullet1"/>
    <w:rsid w:val="0058320B"/>
    <w:rPr>
      <w:rFonts w:ascii="Tahoma" w:hAnsi="Tahoma"/>
      <w:sz w:val="22"/>
      <w:szCs w:val="24"/>
      <w:lang w:eastAsia="en-US"/>
    </w:rPr>
  </w:style>
  <w:style w:type="character" w:customStyle="1" w:styleId="QRGBullet2Char">
    <w:name w:val="QRG Bullet 2 Char"/>
    <w:basedOn w:val="QRGBullet1Char"/>
    <w:link w:val="QRGBullet2"/>
    <w:rsid w:val="0058320B"/>
    <w:rPr>
      <w:rFonts w:ascii="Tahoma" w:hAnsi="Tahoma"/>
      <w:sz w:val="22"/>
      <w:szCs w:val="24"/>
      <w:lang w:eastAsia="en-US"/>
    </w:rPr>
  </w:style>
  <w:style w:type="character" w:customStyle="1" w:styleId="QRGBold">
    <w:name w:val="QRG Bold"/>
    <w:basedOn w:val="DefaultParagraphFont"/>
    <w:uiPriority w:val="1"/>
    <w:qFormat/>
    <w:rsid w:val="00F735B2"/>
    <w:rPr>
      <w:b/>
    </w:rPr>
  </w:style>
  <w:style w:type="paragraph" w:customStyle="1" w:styleId="QRGSubtitle">
    <w:name w:val="QRG Subtitle"/>
    <w:basedOn w:val="Normal"/>
    <w:rsid w:val="00867F5E"/>
    <w:pPr>
      <w:spacing w:before="0" w:after="0"/>
    </w:pPr>
    <w:rPr>
      <w:rFonts w:ascii="Arial" w:hAnsi="Arial" w:cs="Arial"/>
      <w:color w:val="FFFFFF"/>
      <w:kern w:val="28"/>
      <w:sz w:val="32"/>
      <w:szCs w:val="32"/>
      <w:lang w:eastAsia="en-AU"/>
      <w14:ligatures w14:val="standard"/>
      <w14:cntxtAlts/>
    </w:rPr>
  </w:style>
  <w:style w:type="paragraph" w:customStyle="1" w:styleId="QRGheadergood">
    <w:name w:val="QRG header good"/>
    <w:basedOn w:val="Header"/>
    <w:autoRedefine/>
    <w:qFormat/>
    <w:rsid w:val="000767A1"/>
    <w:rPr>
      <w:noProof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12.png"/><Relationship Id="rId18" Type="http://schemas.openxmlformats.org/officeDocument/2006/relationships/image" Target="media/image17.png"/><Relationship Id="rId26" Type="http://schemas.openxmlformats.org/officeDocument/2006/relationships/image" Target="media/image23.png"/><Relationship Id="rId3" Type="http://schemas.openxmlformats.org/officeDocument/2006/relationships/settings" Target="settings.xml"/><Relationship Id="rId21" Type="http://schemas.openxmlformats.org/officeDocument/2006/relationships/image" Target="media/image20.png"/><Relationship Id="rId34" Type="http://schemas.openxmlformats.org/officeDocument/2006/relationships/header" Target="header1.xml"/><Relationship Id="rId7" Type="http://schemas.openxmlformats.org/officeDocument/2006/relationships/image" Target="media/image6.png"/><Relationship Id="rId12" Type="http://schemas.openxmlformats.org/officeDocument/2006/relationships/image" Target="media/image11.png"/><Relationship Id="rId17" Type="http://schemas.openxmlformats.org/officeDocument/2006/relationships/image" Target="media/image16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tyles" Target="styles.xml"/><Relationship Id="rId16" Type="http://schemas.openxmlformats.org/officeDocument/2006/relationships/image" Target="media/image15.png"/><Relationship Id="rId20" Type="http://schemas.openxmlformats.org/officeDocument/2006/relationships/image" Target="media/image19.png"/><Relationship Id="rId29" Type="http://schemas.openxmlformats.org/officeDocument/2006/relationships/image" Target="media/image2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4.png"/><Relationship Id="rId23" Type="http://schemas.openxmlformats.org/officeDocument/2006/relationships/image" Target="media/image5.png"/><Relationship Id="rId28" Type="http://schemas.openxmlformats.org/officeDocument/2006/relationships/image" Target="media/image25.png"/><Relationship Id="rId36" Type="http://schemas.openxmlformats.org/officeDocument/2006/relationships/fontTable" Target="fontTable.xml"/><Relationship Id="rId10" Type="http://schemas.openxmlformats.org/officeDocument/2006/relationships/image" Target="media/image9.png"/><Relationship Id="rId19" Type="http://schemas.openxmlformats.org/officeDocument/2006/relationships/image" Target="media/image18.png"/><Relationship Id="rId31" Type="http://schemas.openxmlformats.org/officeDocument/2006/relationships/image" Target="media/image28.png"/><Relationship Id="rId4" Type="http://schemas.openxmlformats.org/officeDocument/2006/relationships/webSettings" Target="webSettings.xml"/><Relationship Id="rId9" Type="http://schemas.openxmlformats.org/officeDocument/2006/relationships/image" Target="media/image8.png"/><Relationship Id="rId14" Type="http://schemas.openxmlformats.org/officeDocument/2006/relationships/image" Target="media/image13.png"/><Relationship Id="rId22" Type="http://schemas.openxmlformats.org/officeDocument/2006/relationships/image" Target="media/image4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2.jpeg"/><Relationship Id="rId1" Type="http://schemas.openxmlformats.org/officeDocument/2006/relationships/image" Target="media/image31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Get Started with the QLIK IHD Health Service nKPI Report</vt:lpstr>
    </vt:vector>
  </TitlesOfParts>
  <Company>Department of Immigration and Border Protection</Company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 Started with the QLIK Health Service nKPI and OSR Report</dc:title>
  <dc:creator>Joel Dennerley</dc:creator>
  <cp:lastModifiedBy>DUNN, Stuart</cp:lastModifiedBy>
  <cp:revision>123</cp:revision>
  <dcterms:created xsi:type="dcterms:W3CDTF">2018-02-05T01:55:00Z</dcterms:created>
  <dcterms:modified xsi:type="dcterms:W3CDTF">2024-03-26T03:27:00Z</dcterms:modified>
</cp:coreProperties>
</file>