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4FF11628" w:rsidR="002B5DB3" w:rsidRDefault="00080064" w:rsidP="002B5DB3">
      <w:r>
        <w:rPr>
          <w:noProof/>
        </w:rPr>
        <w:drawing>
          <wp:inline distT="0" distB="0" distL="0" distR="0" wp14:anchorId="70B614A3" wp14:editId="7A8B76EA">
            <wp:extent cx="4381500" cy="1333500"/>
            <wp:effectExtent l="0" t="0" r="0" b="0"/>
            <wp:docPr id="1373473063"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73063" name="Picture 1" descr="Australian Government Department of Health, Disability and Age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33500"/>
                    </a:xfrm>
                    <a:prstGeom prst="rect">
                      <a:avLst/>
                    </a:prstGeom>
                    <a:noFill/>
                    <a:ln>
                      <a:noFill/>
                    </a:ln>
                  </pic:spPr>
                </pic:pic>
              </a:graphicData>
            </a:graphic>
          </wp:inline>
        </w:drawing>
      </w:r>
    </w:p>
    <w:p w14:paraId="20CFA9A0" w14:textId="77777777" w:rsidR="002B5DB3" w:rsidRDefault="002B5DB3" w:rsidP="002B5DB3"/>
    <w:p w14:paraId="14B8BB51" w14:textId="77777777" w:rsidR="002B5DB3" w:rsidRDefault="002B5DB3" w:rsidP="002B5DB3"/>
    <w:p w14:paraId="381D4A87" w14:textId="51031B85" w:rsidR="002B5DB3" w:rsidRPr="00EF7331" w:rsidRDefault="00383B00" w:rsidP="002B5DB3">
      <w:pPr>
        <w:pStyle w:val="TitlePage1SH"/>
        <w:rPr>
          <w:sz w:val="48"/>
          <w:szCs w:val="36"/>
        </w:rPr>
      </w:pPr>
      <w:r>
        <w:rPr>
          <w:sz w:val="48"/>
          <w:szCs w:val="36"/>
        </w:rPr>
        <w:t xml:space="preserve">First Nations </w:t>
      </w:r>
      <w:r w:rsidR="005440C7">
        <w:rPr>
          <w:sz w:val="48"/>
          <w:szCs w:val="36"/>
        </w:rPr>
        <w:t>Health Reporting:</w:t>
      </w:r>
    </w:p>
    <w:p w14:paraId="56C0E905" w14:textId="6E4243DC" w:rsidR="002B5DB3" w:rsidRPr="00EF7331" w:rsidRDefault="00873CD6" w:rsidP="002B5DB3">
      <w:pPr>
        <w:pStyle w:val="TitlePage2SH"/>
        <w:pBdr>
          <w:bottom w:val="single" w:sz="24" w:space="1" w:color="0C2340"/>
        </w:pBdr>
        <w:spacing w:after="0"/>
        <w:rPr>
          <w:sz w:val="48"/>
          <w:szCs w:val="36"/>
        </w:rPr>
      </w:pPr>
      <w:r>
        <w:rPr>
          <w:sz w:val="48"/>
          <w:szCs w:val="36"/>
        </w:rPr>
        <w:t xml:space="preserve">nKPI </w:t>
      </w:r>
      <w:r w:rsidR="005440C7">
        <w:rPr>
          <w:sz w:val="48"/>
          <w:szCs w:val="36"/>
        </w:rPr>
        <w:t xml:space="preserve">- </w:t>
      </w:r>
      <w:r w:rsidR="0037021F">
        <w:rPr>
          <w:sz w:val="48"/>
          <w:szCs w:val="36"/>
        </w:rPr>
        <w:t xml:space="preserve">Best Practice </w:t>
      </w:r>
      <w:r>
        <w:rPr>
          <w:sz w:val="48"/>
          <w:szCs w:val="36"/>
        </w:rPr>
        <w:t xml:space="preserve">Data </w:t>
      </w:r>
      <w:r w:rsidR="005440C7">
        <w:rPr>
          <w:sz w:val="48"/>
          <w:szCs w:val="36"/>
        </w:rPr>
        <w:t>L</w:t>
      </w:r>
      <w:r>
        <w:rPr>
          <w:sz w:val="48"/>
          <w:szCs w:val="36"/>
        </w:rPr>
        <w:t>imitations</w:t>
      </w:r>
    </w:p>
    <w:p w14:paraId="41B845B3" w14:textId="77777777" w:rsidR="002B5DB3" w:rsidRPr="00B45936" w:rsidRDefault="002B5DB3" w:rsidP="002B5DB3">
      <w:pPr>
        <w:pStyle w:val="TitlePage2SH"/>
        <w:pBdr>
          <w:bottom w:val="single" w:sz="24" w:space="1" w:color="0C2340"/>
        </w:pBdr>
        <w:spacing w:before="120" w:after="0"/>
        <w:rPr>
          <w:sz w:val="21"/>
          <w:szCs w:val="16"/>
        </w:rPr>
      </w:pPr>
    </w:p>
    <w:p w14:paraId="5556B88C" w14:textId="77777777" w:rsidR="002B5DB3" w:rsidRPr="00CD0966" w:rsidRDefault="002B5DB3" w:rsidP="002B5DB3"/>
    <w:p w14:paraId="01CB48BF" w14:textId="18F2876F" w:rsidR="002B5DB3" w:rsidRPr="003261DD" w:rsidRDefault="002B5DB3" w:rsidP="002A4302">
      <w:pPr>
        <w:pStyle w:val="Heading1SH"/>
        <w:rPr>
          <w:lang w:eastAsia="en-AU"/>
        </w:rPr>
      </w:pPr>
      <w:r>
        <w:t>Introduction</w:t>
      </w:r>
    </w:p>
    <w:p w14:paraId="2CE5D4F9" w14:textId="24B3B3F3" w:rsidR="00DD0267" w:rsidRDefault="00820287">
      <w:pPr>
        <w:pStyle w:val="BodytextSH"/>
        <w:rPr>
          <w:rFonts w:eastAsia="Times New Roman" w:cs="Times New Roman"/>
          <w:lang w:eastAsia="en-AU"/>
        </w:rPr>
      </w:pPr>
      <w:r>
        <w:rPr>
          <w:rFonts w:eastAsia="Times New Roman" w:cs="Times New Roman"/>
          <w:lang w:eastAsia="en-AU"/>
        </w:rPr>
        <w:t xml:space="preserve">The </w:t>
      </w:r>
      <w:r w:rsidR="003F14CA">
        <w:rPr>
          <w:rFonts w:eastAsia="Times New Roman" w:cs="Times New Roman"/>
          <w:lang w:eastAsia="en-AU"/>
        </w:rPr>
        <w:t>N</w:t>
      </w:r>
      <w:r w:rsidR="00824718">
        <w:rPr>
          <w:rFonts w:eastAsia="Times New Roman" w:cs="Times New Roman"/>
          <w:lang w:eastAsia="en-AU"/>
        </w:rPr>
        <w:t xml:space="preserve">ational </w:t>
      </w:r>
      <w:r w:rsidR="003F14CA">
        <w:rPr>
          <w:rFonts w:eastAsia="Times New Roman" w:cs="Times New Roman"/>
          <w:lang w:eastAsia="en-AU"/>
        </w:rPr>
        <w:t>K</w:t>
      </w:r>
      <w:r w:rsidR="00824718">
        <w:rPr>
          <w:rFonts w:eastAsia="Times New Roman" w:cs="Times New Roman"/>
          <w:lang w:eastAsia="en-AU"/>
        </w:rPr>
        <w:t xml:space="preserve">ey </w:t>
      </w:r>
      <w:r w:rsidR="003F14CA">
        <w:rPr>
          <w:rFonts w:eastAsia="Times New Roman" w:cs="Times New Roman"/>
          <w:lang w:eastAsia="en-AU"/>
        </w:rPr>
        <w:t>P</w:t>
      </w:r>
      <w:r w:rsidR="00824718">
        <w:rPr>
          <w:rFonts w:eastAsia="Times New Roman" w:cs="Times New Roman"/>
          <w:lang w:eastAsia="en-AU"/>
        </w:rPr>
        <w:t xml:space="preserve">erformance </w:t>
      </w:r>
      <w:r w:rsidR="003F14CA">
        <w:rPr>
          <w:rFonts w:eastAsia="Times New Roman" w:cs="Times New Roman"/>
          <w:lang w:eastAsia="en-AU"/>
        </w:rPr>
        <w:t>I</w:t>
      </w:r>
      <w:r w:rsidR="00824718">
        <w:rPr>
          <w:rFonts w:eastAsia="Times New Roman" w:cs="Times New Roman"/>
          <w:lang w:eastAsia="en-AU"/>
        </w:rPr>
        <w:t>ndicators (</w:t>
      </w:r>
      <w:r>
        <w:rPr>
          <w:rFonts w:eastAsia="Times New Roman" w:cs="Times New Roman"/>
          <w:lang w:eastAsia="en-AU"/>
        </w:rPr>
        <w:t>nKPI</w:t>
      </w:r>
      <w:r w:rsidR="00824718">
        <w:rPr>
          <w:rFonts w:eastAsia="Times New Roman" w:cs="Times New Roman"/>
          <w:lang w:eastAsia="en-AU"/>
        </w:rPr>
        <w:t>)</w:t>
      </w:r>
      <w:r w:rsidR="00ED14F1">
        <w:rPr>
          <w:rFonts w:eastAsia="Times New Roman" w:cs="Times New Roman"/>
          <w:lang w:eastAsia="en-AU"/>
        </w:rPr>
        <w:t xml:space="preserve"> </w:t>
      </w:r>
      <w:r w:rsidR="000D69FA">
        <w:rPr>
          <w:rFonts w:eastAsia="Times New Roman" w:cs="Times New Roman"/>
          <w:lang w:eastAsia="en-AU"/>
        </w:rPr>
        <w:t xml:space="preserve">is a suite of </w:t>
      </w:r>
      <w:r w:rsidR="008970B4">
        <w:rPr>
          <w:rFonts w:eastAsia="Times New Roman" w:cs="Times New Roman"/>
          <w:lang w:eastAsia="en-AU"/>
        </w:rPr>
        <w:t>process</w:t>
      </w:r>
      <w:r w:rsidR="00DD7480">
        <w:rPr>
          <w:rFonts w:eastAsia="Times New Roman" w:cs="Times New Roman"/>
          <w:lang w:eastAsia="en-AU"/>
        </w:rPr>
        <w:t xml:space="preserve"> of care</w:t>
      </w:r>
      <w:r w:rsidR="008970B4">
        <w:rPr>
          <w:rFonts w:eastAsia="Times New Roman" w:cs="Times New Roman"/>
          <w:lang w:eastAsia="en-AU"/>
        </w:rPr>
        <w:t xml:space="preserve"> and health outcome </w:t>
      </w:r>
      <w:r w:rsidR="00D94931">
        <w:rPr>
          <w:rFonts w:eastAsia="Times New Roman" w:cs="Times New Roman"/>
          <w:lang w:eastAsia="en-AU"/>
        </w:rPr>
        <w:t xml:space="preserve">indicators focussing on </w:t>
      </w:r>
      <w:r w:rsidR="008970B4">
        <w:rPr>
          <w:rFonts w:eastAsia="Times New Roman" w:cs="Times New Roman"/>
          <w:lang w:eastAsia="en-AU"/>
        </w:rPr>
        <w:t xml:space="preserve">maternal and child health, </w:t>
      </w:r>
      <w:r w:rsidR="003E4EFC">
        <w:rPr>
          <w:rFonts w:eastAsia="Times New Roman" w:cs="Times New Roman"/>
          <w:lang w:eastAsia="en-AU"/>
        </w:rPr>
        <w:t>preventive health</w:t>
      </w:r>
      <w:r w:rsidR="00E01D4D">
        <w:rPr>
          <w:rFonts w:eastAsia="Times New Roman" w:cs="Times New Roman"/>
          <w:lang w:eastAsia="en-AU"/>
        </w:rPr>
        <w:t>,</w:t>
      </w:r>
      <w:r w:rsidR="003E4EFC">
        <w:rPr>
          <w:rFonts w:eastAsia="Times New Roman" w:cs="Times New Roman"/>
          <w:lang w:eastAsia="en-AU"/>
        </w:rPr>
        <w:t xml:space="preserve"> and </w:t>
      </w:r>
      <w:r w:rsidR="008970B4">
        <w:rPr>
          <w:rFonts w:eastAsia="Times New Roman" w:cs="Times New Roman"/>
          <w:lang w:eastAsia="en-AU"/>
        </w:rPr>
        <w:t>chronic disease management</w:t>
      </w:r>
      <w:r w:rsidR="006E1C94" w:rsidRPr="006E1C94">
        <w:rPr>
          <w:rFonts w:eastAsia="Times New Roman" w:cs="Times New Roman"/>
          <w:lang w:eastAsia="en-AU"/>
        </w:rPr>
        <w:t xml:space="preserve"> </w:t>
      </w:r>
      <w:r w:rsidR="006E1C94">
        <w:rPr>
          <w:rFonts w:eastAsia="Times New Roman" w:cs="Times New Roman"/>
          <w:lang w:eastAsia="en-AU"/>
        </w:rPr>
        <w:t>for First Nations people</w:t>
      </w:r>
      <w:r w:rsidR="008970B4">
        <w:rPr>
          <w:rFonts w:eastAsia="Times New Roman" w:cs="Times New Roman"/>
          <w:lang w:eastAsia="en-AU"/>
        </w:rPr>
        <w:t xml:space="preserve">. Accurate reporting is essential to support continuous quality improvement in primary health care delivery. </w:t>
      </w:r>
    </w:p>
    <w:p w14:paraId="03B6E1BC" w14:textId="66FC55C8" w:rsidR="438F35AB" w:rsidRDefault="00B548DB" w:rsidP="002A4302">
      <w:pPr>
        <w:pStyle w:val="BodytextSH"/>
        <w:rPr>
          <w:rFonts w:eastAsia="Times New Roman" w:cs="Times New Roman"/>
          <w:lang w:eastAsia="en-AU"/>
        </w:rPr>
      </w:pPr>
      <w:r>
        <w:rPr>
          <w:rFonts w:eastAsia="Times New Roman" w:cs="Times New Roman"/>
          <w:lang w:eastAsia="en-AU"/>
        </w:rPr>
        <w:t>D</w:t>
      </w:r>
      <w:r w:rsidR="008970B4">
        <w:rPr>
          <w:rFonts w:eastAsia="Times New Roman" w:cs="Times New Roman"/>
          <w:lang w:eastAsia="en-AU"/>
        </w:rPr>
        <w:t>ifference</w:t>
      </w:r>
      <w:r w:rsidR="00D102AF">
        <w:rPr>
          <w:rFonts w:eastAsia="Times New Roman" w:cs="Times New Roman"/>
          <w:lang w:eastAsia="en-AU"/>
        </w:rPr>
        <w:t>s</w:t>
      </w:r>
      <w:r w:rsidR="008970B4">
        <w:rPr>
          <w:rFonts w:eastAsia="Times New Roman" w:cs="Times New Roman"/>
          <w:lang w:eastAsia="en-AU"/>
        </w:rPr>
        <w:t xml:space="preserve"> in how clinical information systems (CIS) capture and report data</w:t>
      </w:r>
      <w:r w:rsidR="007E6886">
        <w:rPr>
          <w:rFonts w:eastAsia="Times New Roman" w:cs="Times New Roman"/>
          <w:lang w:eastAsia="en-AU"/>
        </w:rPr>
        <w:t xml:space="preserve"> (whether due to system capability, reporting limitations</w:t>
      </w:r>
      <w:r w:rsidR="00052417">
        <w:rPr>
          <w:rFonts w:eastAsia="Times New Roman" w:cs="Times New Roman"/>
          <w:lang w:eastAsia="en-AU"/>
        </w:rPr>
        <w:t>,</w:t>
      </w:r>
      <w:r w:rsidR="007E6886">
        <w:rPr>
          <w:rFonts w:eastAsia="Times New Roman" w:cs="Times New Roman"/>
          <w:lang w:eastAsia="en-AU"/>
        </w:rPr>
        <w:t xml:space="preserve"> or both) can affect the accuracy </w:t>
      </w:r>
      <w:r w:rsidR="00945FF3">
        <w:rPr>
          <w:rFonts w:eastAsia="Times New Roman" w:cs="Times New Roman"/>
          <w:lang w:eastAsia="en-AU"/>
        </w:rPr>
        <w:t xml:space="preserve">and completeness </w:t>
      </w:r>
      <w:r w:rsidR="007E6886">
        <w:rPr>
          <w:rFonts w:eastAsia="Times New Roman" w:cs="Times New Roman"/>
          <w:lang w:eastAsia="en-AU"/>
        </w:rPr>
        <w:t>of these indicators. Understanding these system-specific</w:t>
      </w:r>
      <w:r w:rsidR="00F865A8">
        <w:rPr>
          <w:rFonts w:eastAsia="Times New Roman" w:cs="Times New Roman"/>
          <w:lang w:eastAsia="en-AU"/>
        </w:rPr>
        <w:t xml:space="preserve"> limitations </w:t>
      </w:r>
      <w:r w:rsidR="0007147F">
        <w:t xml:space="preserve">and how they translate into CIS reports, as well as knowing where to record data within the CIS, </w:t>
      </w:r>
      <w:r w:rsidR="00F865A8">
        <w:t>is critical for</w:t>
      </w:r>
      <w:r w:rsidR="00501157">
        <w:t xml:space="preserve"> </w:t>
      </w:r>
      <w:r w:rsidR="00231307">
        <w:t xml:space="preserve">ensuring your activities are comprehensively reported and </w:t>
      </w:r>
      <w:r w:rsidR="005C7352">
        <w:t xml:space="preserve">results </w:t>
      </w:r>
      <w:r w:rsidR="00501157">
        <w:t>interpret</w:t>
      </w:r>
      <w:r w:rsidR="005C7352">
        <w:t>ed</w:t>
      </w:r>
      <w:r w:rsidR="00501157">
        <w:t xml:space="preserve"> correctly</w:t>
      </w:r>
      <w:r w:rsidR="00443BAE">
        <w:t>.</w:t>
      </w:r>
    </w:p>
    <w:p w14:paraId="7F5346F6" w14:textId="28B8DDB8" w:rsidR="002B5DB3" w:rsidRDefault="00DD0267" w:rsidP="002A4302">
      <w:pPr>
        <w:pStyle w:val="BodytextSH"/>
      </w:pPr>
      <w:r>
        <w:t xml:space="preserve">This article outlines some key </w:t>
      </w:r>
      <w:r w:rsidR="00B811B5">
        <w:t xml:space="preserve">CIS </w:t>
      </w:r>
      <w:r>
        <w:t xml:space="preserve">limitations </w:t>
      </w:r>
      <w:r w:rsidR="00B811B5">
        <w:t>that may impact health service</w:t>
      </w:r>
      <w:r w:rsidR="000C5EBB">
        <w:t>’</w:t>
      </w:r>
      <w:r w:rsidR="00B811B5">
        <w:t>s</w:t>
      </w:r>
      <w:r w:rsidR="00CE2FAD">
        <w:t xml:space="preserve"> </w:t>
      </w:r>
      <w:r w:rsidR="007402AE">
        <w:t xml:space="preserve">data </w:t>
      </w:r>
      <w:r w:rsidR="00CE2FAD">
        <w:t xml:space="preserve">and some practical tips to </w:t>
      </w:r>
      <w:r w:rsidR="008B75F1">
        <w:t xml:space="preserve">help </w:t>
      </w:r>
      <w:r w:rsidR="00383B00">
        <w:t>manage data.</w:t>
      </w:r>
    </w:p>
    <w:p w14:paraId="76714FB5" w14:textId="2F667FF5" w:rsidR="002B5DB3" w:rsidRDefault="6769F5D8" w:rsidP="002B5DB3">
      <w:pPr>
        <w:pStyle w:val="Heading1SH"/>
      </w:pPr>
      <w:r w:rsidRPr="000F431F">
        <w:t>Best Practice</w:t>
      </w:r>
      <w:r w:rsidR="002B5DB3">
        <w:t xml:space="preserve"> </w:t>
      </w:r>
      <w:r w:rsidR="00132BAC">
        <w:t>l</w:t>
      </w:r>
      <w:r w:rsidR="002B5DB3">
        <w:t>imitations</w:t>
      </w:r>
      <w:r w:rsidR="004F6B6D">
        <w:t xml:space="preserve"> and data quality</w:t>
      </w:r>
      <w:r w:rsidR="005A5A96">
        <w:t xml:space="preserve"> tips</w:t>
      </w:r>
    </w:p>
    <w:p w14:paraId="2960ED1A" w14:textId="20B1A2F9" w:rsidR="006073C8" w:rsidRPr="002A4302" w:rsidRDefault="508E71E9" w:rsidP="002A4302">
      <w:pPr>
        <w:pStyle w:val="SubheadingSH"/>
        <w:rPr>
          <w:b w:val="0"/>
          <w:bCs w:val="0"/>
        </w:rPr>
      </w:pPr>
      <w:r w:rsidRPr="002A4302">
        <w:t xml:space="preserve">Telephone </w:t>
      </w:r>
      <w:r w:rsidR="00132BAC">
        <w:t>v</w:t>
      </w:r>
      <w:r w:rsidRPr="002A4302">
        <w:t>isits</w:t>
      </w:r>
    </w:p>
    <w:p w14:paraId="71A02955" w14:textId="72C836FA" w:rsidR="009B541C" w:rsidRDefault="009B541C" w:rsidP="00FA0F55">
      <w:pPr>
        <w:pStyle w:val="BodytextSH"/>
      </w:pPr>
      <w:r w:rsidRPr="00FA0F55">
        <w:t>Best Practice doesn't distin</w:t>
      </w:r>
      <w:r w:rsidR="00FC2A04">
        <w:t>guish</w:t>
      </w:r>
      <w:r w:rsidRPr="00FA0F55">
        <w:t xml:space="preserve"> between clinical and non-clinical encounters</w:t>
      </w:r>
      <w:r w:rsidR="00FC2A04">
        <w:t xml:space="preserve"> for telephone visits</w:t>
      </w:r>
      <w:r w:rsidR="00CE765B">
        <w:t xml:space="preserve">. As a result, all telephone </w:t>
      </w:r>
      <w:r w:rsidR="00DC204C">
        <w:t xml:space="preserve">encounters are counted as eligible visit types for </w:t>
      </w:r>
      <w:r w:rsidR="00A6369D">
        <w:t>counting</w:t>
      </w:r>
      <w:r w:rsidR="00DC204C">
        <w:t xml:space="preserve"> </w:t>
      </w:r>
      <w:r w:rsidR="001C2C36">
        <w:t>R</w:t>
      </w:r>
      <w:r w:rsidR="001C2C36" w:rsidRPr="006B1D3C">
        <w:t xml:space="preserve">egular </w:t>
      </w:r>
      <w:r w:rsidR="001C2C36">
        <w:t>C</w:t>
      </w:r>
      <w:r w:rsidR="001C2C36" w:rsidRPr="006B1D3C">
        <w:t xml:space="preserve">lient </w:t>
      </w:r>
      <w:r w:rsidR="00DC204C">
        <w:t xml:space="preserve">status in the </w:t>
      </w:r>
      <w:r w:rsidR="002A4302">
        <w:t xml:space="preserve">nKPI </w:t>
      </w:r>
      <w:r w:rsidR="00DC204C">
        <w:t>report.</w:t>
      </w:r>
      <w:r w:rsidRPr="00FA0F55">
        <w:t xml:space="preserve"> </w:t>
      </w:r>
      <w:r w:rsidR="00DC204C">
        <w:t>T</w:t>
      </w:r>
      <w:r w:rsidRPr="00FA0F55">
        <w:t xml:space="preserve">his </w:t>
      </w:r>
      <w:r w:rsidR="00713E03">
        <w:t>may</w:t>
      </w:r>
      <w:r w:rsidR="00713E03" w:rsidRPr="00FA0F55">
        <w:t xml:space="preserve"> </w:t>
      </w:r>
      <w:r w:rsidRPr="00FA0F55">
        <w:t xml:space="preserve">lead to </w:t>
      </w:r>
      <w:r w:rsidR="002A4302">
        <w:t xml:space="preserve">an </w:t>
      </w:r>
      <w:r w:rsidRPr="00FA0F55">
        <w:t xml:space="preserve">inflated </w:t>
      </w:r>
      <w:r w:rsidR="001C2C36">
        <w:t>R</w:t>
      </w:r>
      <w:r w:rsidR="001C2C36" w:rsidRPr="006B1D3C">
        <w:t xml:space="preserve">egular </w:t>
      </w:r>
      <w:r w:rsidR="001C2C36">
        <w:t>C</w:t>
      </w:r>
      <w:r w:rsidR="001C2C36" w:rsidRPr="006B1D3C">
        <w:t>lient</w:t>
      </w:r>
      <w:r w:rsidR="00DE6C1A">
        <w:t xml:space="preserve"> </w:t>
      </w:r>
      <w:r w:rsidR="002A4302">
        <w:t>count</w:t>
      </w:r>
      <w:r w:rsidRPr="00FA0F55">
        <w:t xml:space="preserve">, </w:t>
      </w:r>
      <w:r w:rsidR="00E170AA">
        <w:t>particularly</w:t>
      </w:r>
      <w:r w:rsidR="00E170AA" w:rsidRPr="00FA0F55">
        <w:t xml:space="preserve"> </w:t>
      </w:r>
      <w:r w:rsidRPr="00FA0F55">
        <w:t xml:space="preserve">if non-clinical staff are </w:t>
      </w:r>
      <w:r w:rsidR="00E170AA">
        <w:t>recording</w:t>
      </w:r>
      <w:r w:rsidR="00E170AA" w:rsidRPr="00FA0F55">
        <w:t xml:space="preserve"> </w:t>
      </w:r>
      <w:r w:rsidRPr="00FA0F55">
        <w:t xml:space="preserve">their </w:t>
      </w:r>
      <w:r w:rsidR="000E37ED">
        <w:t>client interactions</w:t>
      </w:r>
      <w:r w:rsidRPr="00FA0F55">
        <w:t xml:space="preserve"> as telephone encounters.</w:t>
      </w:r>
    </w:p>
    <w:p w14:paraId="63256BDD" w14:textId="60029DF1" w:rsidR="00EC187F" w:rsidRDefault="000C3E5B" w:rsidP="00FA0F55">
      <w:pPr>
        <w:pStyle w:val="BodytextSH"/>
      </w:pPr>
      <w:r>
        <w:t>Th</w:t>
      </w:r>
      <w:r w:rsidR="0052519A">
        <w:t>e</w:t>
      </w:r>
      <w:r w:rsidR="00467D62">
        <w:t xml:space="preserve"> Specifications allow for</w:t>
      </w:r>
      <w:r w:rsidR="0052519A">
        <w:t>,</w:t>
      </w:r>
      <w:r w:rsidR="00467D62">
        <w:t xml:space="preserve"> and accept</w:t>
      </w:r>
      <w:r w:rsidR="0052519A">
        <w:t>,</w:t>
      </w:r>
      <w:r w:rsidR="00467D62">
        <w:t xml:space="preserve"> this</w:t>
      </w:r>
      <w:r>
        <w:t xml:space="preserve"> limitation in scenarios where </w:t>
      </w:r>
      <w:r w:rsidR="005C7352">
        <w:t xml:space="preserve">a </w:t>
      </w:r>
      <w:r>
        <w:t xml:space="preserve">CIS </w:t>
      </w:r>
      <w:r w:rsidR="00176EE8">
        <w:t>ca</w:t>
      </w:r>
      <w:r>
        <w:t xml:space="preserve">n’t </w:t>
      </w:r>
      <w:r w:rsidR="00467D62">
        <w:t xml:space="preserve">distinguish between clinical and non-clinical telephone visits. </w:t>
      </w:r>
    </w:p>
    <w:p w14:paraId="1435B032" w14:textId="4C17B570" w:rsidR="000C3E5B" w:rsidRDefault="00EC187F" w:rsidP="00FA0F55">
      <w:pPr>
        <w:pStyle w:val="BodytextSH"/>
      </w:pPr>
      <w:r w:rsidRPr="002A4302">
        <w:rPr>
          <w:b/>
          <w:bCs/>
        </w:rPr>
        <w:t>NOTE:</w:t>
      </w:r>
      <w:r>
        <w:t xml:space="preserve"> Telehealth visits are categorised separately.</w:t>
      </w:r>
    </w:p>
    <w:p w14:paraId="2FF5E969" w14:textId="3D3E36D8" w:rsidR="00FA0F55" w:rsidRDefault="00E170AA" w:rsidP="008E5C31">
      <w:pPr>
        <w:pStyle w:val="Bodytext-emhasisSH"/>
        <w:rPr>
          <w:b w:val="0"/>
          <w:bCs w:val="0"/>
        </w:rPr>
      </w:pPr>
      <w:r>
        <w:t>TIP</w:t>
      </w:r>
      <w:r w:rsidR="00FA0F55" w:rsidRPr="00BF3C78">
        <w:t>:</w:t>
      </w:r>
      <w:r w:rsidR="00FA0F55" w:rsidRPr="00FA0F55">
        <w:t xml:space="preserve"> </w:t>
      </w:r>
      <w:r w:rsidR="00BF3C78" w:rsidRPr="002A4302">
        <w:rPr>
          <w:b w:val="0"/>
          <w:bCs w:val="0"/>
        </w:rPr>
        <w:t>Knowing this limitation helps you better understand wh</w:t>
      </w:r>
      <w:r w:rsidR="00A72200">
        <w:rPr>
          <w:b w:val="0"/>
          <w:bCs w:val="0"/>
        </w:rPr>
        <w:t>ich data</w:t>
      </w:r>
      <w:r w:rsidR="00BF3C78" w:rsidRPr="002A4302">
        <w:rPr>
          <w:b w:val="0"/>
          <w:bCs w:val="0"/>
        </w:rPr>
        <w:t xml:space="preserve"> </w:t>
      </w:r>
      <w:r w:rsidR="00A72200">
        <w:rPr>
          <w:b w:val="0"/>
          <w:bCs w:val="0"/>
        </w:rPr>
        <w:t>are included in the</w:t>
      </w:r>
      <w:r w:rsidR="00BF3C78" w:rsidRPr="002A4302">
        <w:rPr>
          <w:b w:val="0"/>
          <w:bCs w:val="0"/>
        </w:rPr>
        <w:t xml:space="preserve"> calculati</w:t>
      </w:r>
      <w:r w:rsidR="00A72200">
        <w:rPr>
          <w:b w:val="0"/>
          <w:bCs w:val="0"/>
        </w:rPr>
        <w:t>on</w:t>
      </w:r>
      <w:r w:rsidR="00BF3C78" w:rsidRPr="002A4302">
        <w:rPr>
          <w:b w:val="0"/>
          <w:bCs w:val="0"/>
        </w:rPr>
        <w:t xml:space="preserve"> </w:t>
      </w:r>
      <w:r w:rsidR="00A72200">
        <w:rPr>
          <w:b w:val="0"/>
          <w:bCs w:val="0"/>
        </w:rPr>
        <w:t>of</w:t>
      </w:r>
      <w:r w:rsidR="00A72200">
        <w:rPr>
          <w:b w:val="0"/>
        </w:rPr>
        <w:t xml:space="preserve"> </w:t>
      </w:r>
      <w:r w:rsidR="001C2C36" w:rsidRPr="001C2C36">
        <w:rPr>
          <w:b w:val="0"/>
          <w:bCs w:val="0"/>
        </w:rPr>
        <w:t>Regular Client</w:t>
      </w:r>
      <w:r w:rsidR="00BF3C78" w:rsidRPr="002A4302">
        <w:rPr>
          <w:b w:val="0"/>
          <w:bCs w:val="0"/>
        </w:rPr>
        <w:t xml:space="preserve"> status</w:t>
      </w:r>
      <w:r w:rsidR="00E913A5">
        <w:rPr>
          <w:b w:val="0"/>
          <w:bCs w:val="0"/>
        </w:rPr>
        <w:t>.</w:t>
      </w:r>
    </w:p>
    <w:p w14:paraId="466C5748" w14:textId="77777777" w:rsidR="00080064" w:rsidRDefault="00080064" w:rsidP="00970791">
      <w:pPr>
        <w:pStyle w:val="SubheadingSH"/>
      </w:pPr>
    </w:p>
    <w:p w14:paraId="4A3438C4" w14:textId="2A8188DD" w:rsidR="004D5767" w:rsidRDefault="004D5767" w:rsidP="00970791">
      <w:pPr>
        <w:pStyle w:val="SubheadingSH"/>
      </w:pPr>
      <w:r w:rsidRPr="002A4302">
        <w:lastRenderedPageBreak/>
        <w:t>Pathology results – PI05, PI06, PI18</w:t>
      </w:r>
      <w:r w:rsidR="00970791" w:rsidRPr="002A4302">
        <w:t>, PI19, PI25</w:t>
      </w:r>
    </w:p>
    <w:p w14:paraId="4B729CCD" w14:textId="150B6B4D" w:rsidR="00834985" w:rsidRDefault="00F75DFC" w:rsidP="00F75DFC">
      <w:pPr>
        <w:pStyle w:val="BodytextSH"/>
      </w:pPr>
      <w:r>
        <w:t xml:space="preserve">Pathology results are only included in </w:t>
      </w:r>
      <w:r w:rsidR="00EE77C5">
        <w:t xml:space="preserve">nKPI </w:t>
      </w:r>
      <w:r>
        <w:t>reports if the</w:t>
      </w:r>
      <w:r w:rsidR="00EE77C5">
        <w:t xml:space="preserve"> result has been recorded in the client’s medical record. Incoming pathology results </w:t>
      </w:r>
      <w:r w:rsidR="005C7352">
        <w:t xml:space="preserve">received electronically </w:t>
      </w:r>
      <w:r w:rsidR="00EE77C5">
        <w:t>from pathology laboratories must be fully actioned for them to be</w:t>
      </w:r>
      <w:r>
        <w:t xml:space="preserve"> added to the client record. </w:t>
      </w:r>
      <w:r w:rsidR="004058AF">
        <w:t xml:space="preserve">Results that are </w:t>
      </w:r>
      <w:r w:rsidR="00EA3100">
        <w:t>received in correspondence and</w:t>
      </w:r>
      <w:r w:rsidR="001C72B4">
        <w:t xml:space="preserve"> </w:t>
      </w:r>
      <w:r w:rsidR="004058AF">
        <w:t>scanned into the record</w:t>
      </w:r>
      <w:r w:rsidR="00834985">
        <w:t>,</w:t>
      </w:r>
      <w:r w:rsidR="004058AF">
        <w:t xml:space="preserve"> </w:t>
      </w:r>
      <w:r w:rsidR="00834985">
        <w:t xml:space="preserve">i.e. stored as a document, </w:t>
      </w:r>
      <w:r w:rsidR="004058AF">
        <w:t>will not be c</w:t>
      </w:r>
      <w:r w:rsidR="00834985">
        <w:t>ounted. Some manual entry of these results may be needed</w:t>
      </w:r>
      <w:r w:rsidR="000C2B50">
        <w:t xml:space="preserve">. </w:t>
      </w:r>
    </w:p>
    <w:p w14:paraId="618764BA" w14:textId="198B27A2" w:rsidR="00B77F6C" w:rsidRDefault="00BD5A25" w:rsidP="00F75DFC">
      <w:pPr>
        <w:pStyle w:val="BodytextSH"/>
      </w:pPr>
      <w:r>
        <w:t xml:space="preserve">Each CIS identifies relevant pathology results differently, </w:t>
      </w:r>
      <w:r w:rsidR="004D5EFE">
        <w:t>usually based on</w:t>
      </w:r>
      <w:r>
        <w:t xml:space="preserve"> specific test names or codes.</w:t>
      </w:r>
      <w:r w:rsidR="005C7352">
        <w:t xml:space="preserve"> You can find the detail for this in Best Practice’s user guide, the </w:t>
      </w:r>
      <w:r w:rsidR="005C7352" w:rsidRPr="005C7352">
        <w:rPr>
          <w:i/>
          <w:iCs/>
        </w:rPr>
        <w:t>BP Premier nKPI an OSR Field Mappings</w:t>
      </w:r>
      <w:r w:rsidR="005C7352">
        <w:t>.</w:t>
      </w:r>
    </w:p>
    <w:p w14:paraId="6AC6FB40" w14:textId="1297FF7C" w:rsidR="0002116F" w:rsidRPr="0002116F" w:rsidRDefault="0002116F" w:rsidP="00834985">
      <w:pPr>
        <w:pStyle w:val="BodytextSH"/>
      </w:pPr>
      <w:r>
        <w:rPr>
          <w:b/>
          <w:bCs/>
        </w:rPr>
        <w:t>TIP:</w:t>
      </w:r>
      <w:r>
        <w:t xml:space="preserve"> </w:t>
      </w:r>
      <w:r w:rsidR="005C7352">
        <w:t>Review</w:t>
      </w:r>
      <w:r>
        <w:t xml:space="preserve"> </w:t>
      </w:r>
      <w:r w:rsidR="006F0D01">
        <w:t xml:space="preserve">the </w:t>
      </w:r>
      <w:r w:rsidR="00BA1426">
        <w:rPr>
          <w:i/>
          <w:iCs/>
        </w:rPr>
        <w:t>BP Premier</w:t>
      </w:r>
      <w:r w:rsidR="00DF7074">
        <w:rPr>
          <w:i/>
          <w:iCs/>
        </w:rPr>
        <w:t xml:space="preserve"> nKPI and OSR Field Mappings</w:t>
      </w:r>
      <w:r w:rsidR="00DF7074">
        <w:t xml:space="preserve"> document</w:t>
      </w:r>
      <w:r w:rsidR="000B5E21">
        <w:t xml:space="preserve"> to understand which tests are recognised</w:t>
      </w:r>
      <w:r w:rsidR="005C7352">
        <w:t xml:space="preserve"> for specific indicators</w:t>
      </w:r>
      <w:r w:rsidR="008A39FB">
        <w:t xml:space="preserve">. This is </w:t>
      </w:r>
      <w:r w:rsidR="00537B91">
        <w:t>particularly</w:t>
      </w:r>
      <w:r w:rsidR="008A39FB">
        <w:t xml:space="preserve"> important for indicators like PI05, PI06, PI18, PI19 and PI25 where pathology results play a key role in the </w:t>
      </w:r>
      <w:r w:rsidR="00834985">
        <w:t>reported data</w:t>
      </w:r>
      <w:r w:rsidR="00AE4087">
        <w:t>.</w:t>
      </w:r>
      <w:r w:rsidR="006F0D01">
        <w:t xml:space="preserve"> </w:t>
      </w:r>
    </w:p>
    <w:p w14:paraId="755FA093" w14:textId="51CBD112" w:rsidR="00FA0F55" w:rsidRPr="00DC5DCF" w:rsidRDefault="00DC5DCF" w:rsidP="00834985">
      <w:pPr>
        <w:pStyle w:val="SubheadingSH"/>
      </w:pPr>
      <w:r w:rsidRPr="00DC5DCF">
        <w:t xml:space="preserve">Smoking </w:t>
      </w:r>
      <w:r w:rsidR="00132BAC">
        <w:t>s</w:t>
      </w:r>
      <w:r w:rsidRPr="00DC5DCF">
        <w:t>tatus</w:t>
      </w:r>
      <w:r w:rsidR="004059B4">
        <w:t xml:space="preserve"> – PI09, PI10, PI11</w:t>
      </w:r>
    </w:p>
    <w:p w14:paraId="09D180BC" w14:textId="63CE0B4F" w:rsidR="00D47E43" w:rsidRDefault="004A2BA5" w:rsidP="002B3B2A">
      <w:pPr>
        <w:pStyle w:val="BodytextSH"/>
      </w:pPr>
      <w:r>
        <w:t xml:space="preserve">In </w:t>
      </w:r>
      <w:r w:rsidR="00F21DFE" w:rsidRPr="00DC5DCF">
        <w:t xml:space="preserve">PI09, PI10 </w:t>
      </w:r>
      <w:r w:rsidR="00300B35">
        <w:t>and</w:t>
      </w:r>
      <w:r w:rsidR="00F21DFE" w:rsidRPr="00DC5DCF">
        <w:t xml:space="preserve"> PI11</w:t>
      </w:r>
      <w:r w:rsidR="00A7726A">
        <w:t xml:space="preserve">, </w:t>
      </w:r>
      <w:r>
        <w:t>t</w:t>
      </w:r>
      <w:r w:rsidR="00A7726A">
        <w:t xml:space="preserve">he </w:t>
      </w:r>
      <w:hyperlink r:id="rId11" w:history="1">
        <w:r w:rsidR="00A7726A" w:rsidRPr="003E0422">
          <w:rPr>
            <w:rStyle w:val="Hyperlink"/>
          </w:rPr>
          <w:t>Specifications</w:t>
        </w:r>
      </w:hyperlink>
      <w:r w:rsidR="00A7726A">
        <w:t xml:space="preserve"> </w:t>
      </w:r>
      <w:r w:rsidR="00CC3E3B">
        <w:t xml:space="preserve">for nKPI and Online Service Reports (OSR) </w:t>
      </w:r>
      <w:r w:rsidR="00EE3BAE">
        <w:t xml:space="preserve">(the Specifications) </w:t>
      </w:r>
      <w:r>
        <w:t>state that</w:t>
      </w:r>
      <w:r w:rsidR="0050232A">
        <w:t xml:space="preserve"> </w:t>
      </w:r>
      <w:r w:rsidR="00F21DFE" w:rsidRPr="00DC5DCF">
        <w:t xml:space="preserve">smoking status </w:t>
      </w:r>
      <w:r>
        <w:t>should</w:t>
      </w:r>
      <w:r w:rsidRPr="00DC5DCF">
        <w:t xml:space="preserve"> </w:t>
      </w:r>
      <w:r w:rsidR="00F21DFE" w:rsidRPr="00DC5DCF">
        <w:t xml:space="preserve">be recorded within specific time periods or events. </w:t>
      </w:r>
      <w:r w:rsidR="00762FB6">
        <w:t xml:space="preserve">Limitations in recording the date of </w:t>
      </w:r>
      <w:r w:rsidR="005C7352">
        <w:t xml:space="preserve">a </w:t>
      </w:r>
      <w:r w:rsidR="00762FB6">
        <w:t>smoking status</w:t>
      </w:r>
      <w:r w:rsidR="00B16EE3">
        <w:t xml:space="preserve"> assessment have historically made it difficult to enforce this requirement across</w:t>
      </w:r>
      <w:r w:rsidR="00485EFD">
        <w:t xml:space="preserve"> all CIS.</w:t>
      </w:r>
      <w:r w:rsidR="00073668">
        <w:t xml:space="preserve"> </w:t>
      </w:r>
      <w:r w:rsidR="008B3889">
        <w:t xml:space="preserve">Because of this, </w:t>
      </w:r>
      <w:r w:rsidR="001E0C5A">
        <w:t>the Department of Health, Disability and Ageing</w:t>
      </w:r>
      <w:r w:rsidR="003C4112">
        <w:t xml:space="preserve"> </w:t>
      </w:r>
      <w:r w:rsidR="001E0C5A">
        <w:t xml:space="preserve">accepted that </w:t>
      </w:r>
      <w:r w:rsidR="008B3889">
        <w:t>CIS</w:t>
      </w:r>
      <w:r w:rsidR="00073668">
        <w:t xml:space="preserve"> reports </w:t>
      </w:r>
      <w:r w:rsidR="00CF79EC">
        <w:t>w</w:t>
      </w:r>
      <w:r w:rsidR="003C4112">
        <w:t xml:space="preserve">ould </w:t>
      </w:r>
      <w:r w:rsidR="001E0C5A">
        <w:t xml:space="preserve">count </w:t>
      </w:r>
      <w:r w:rsidR="00073668">
        <w:t>the most</w:t>
      </w:r>
      <w:r w:rsidR="00514273">
        <w:t xml:space="preserve"> recently recorded smoking status, based on the assumption that clinicians would update </w:t>
      </w:r>
      <w:r w:rsidR="00CF79EC">
        <w:t>the status</w:t>
      </w:r>
      <w:r w:rsidR="00514273">
        <w:t xml:space="preserve"> i</w:t>
      </w:r>
      <w:r w:rsidR="003C4112">
        <w:t xml:space="preserve">f it was known that </w:t>
      </w:r>
      <w:r w:rsidR="00514273">
        <w:t>the status had changed.</w:t>
      </w:r>
    </w:p>
    <w:p w14:paraId="030591FE" w14:textId="4E5C32BA" w:rsidR="00F21DFE" w:rsidRDefault="00F21DFE" w:rsidP="002B3B2A">
      <w:pPr>
        <w:pStyle w:val="BodytextSH"/>
      </w:pPr>
      <w:r w:rsidRPr="00DC5DCF">
        <w:t>Best Practice</w:t>
      </w:r>
      <w:r w:rsidR="00514273">
        <w:t xml:space="preserve"> currently</w:t>
      </w:r>
      <w:r w:rsidRPr="00DC5DCF">
        <w:t xml:space="preserve"> includes all </w:t>
      </w:r>
      <w:r w:rsidR="00834985">
        <w:t xml:space="preserve">eligible </w:t>
      </w:r>
      <w:r w:rsidR="003A13EF">
        <w:t>clients</w:t>
      </w:r>
      <w:r w:rsidR="003A13EF" w:rsidRPr="00DC5DCF">
        <w:t xml:space="preserve"> </w:t>
      </w:r>
      <w:r w:rsidRPr="00DC5DCF">
        <w:t xml:space="preserve">with a recorded smoking status, no matter when it was recorded. </w:t>
      </w:r>
      <w:r w:rsidR="006C062D">
        <w:t xml:space="preserve">The last recorded smoking status is used. </w:t>
      </w:r>
      <w:r w:rsidR="00D45AD9">
        <w:t xml:space="preserve">While this approach aligns with historical reporting practices, it may lead to an overcount of </w:t>
      </w:r>
      <w:r w:rsidR="003A13EF">
        <w:t xml:space="preserve">clients </w:t>
      </w:r>
      <w:r w:rsidR="00620D21">
        <w:t xml:space="preserve">who appear </w:t>
      </w:r>
      <w:r w:rsidR="0075498B">
        <w:t xml:space="preserve">to have had </w:t>
      </w:r>
      <w:r w:rsidR="00F85770">
        <w:t>a</w:t>
      </w:r>
      <w:r w:rsidR="00C556E4">
        <w:t xml:space="preserve"> smoking status </w:t>
      </w:r>
      <w:r w:rsidR="00F85770">
        <w:t>assessment within the required timeframe</w:t>
      </w:r>
      <w:r w:rsidR="00C556E4">
        <w:t>.</w:t>
      </w:r>
    </w:p>
    <w:p w14:paraId="5424C0D9" w14:textId="64151783" w:rsidR="008E5C31" w:rsidRDefault="00C556E4">
      <w:pPr>
        <w:pStyle w:val="Bodytext-emhasisSH"/>
        <w:rPr>
          <w:b w:val="0"/>
        </w:rPr>
      </w:pPr>
      <w:r>
        <w:t>TIP</w:t>
      </w:r>
      <w:r w:rsidR="008E5C31" w:rsidRPr="008E5C31">
        <w:t xml:space="preserve">: </w:t>
      </w:r>
      <w:r w:rsidR="005E36B9">
        <w:rPr>
          <w:b w:val="0"/>
        </w:rPr>
        <w:t xml:space="preserve">Best Practice now </w:t>
      </w:r>
      <w:r w:rsidR="00295C9E">
        <w:rPr>
          <w:b w:val="0"/>
        </w:rPr>
        <w:t xml:space="preserve">enables </w:t>
      </w:r>
      <w:r w:rsidR="005043B5">
        <w:rPr>
          <w:b w:val="0"/>
        </w:rPr>
        <w:t xml:space="preserve">a simple </w:t>
      </w:r>
      <w:r w:rsidR="005E36B9">
        <w:rPr>
          <w:b w:val="0"/>
        </w:rPr>
        <w:t xml:space="preserve">update to the smoking assessment date without </w:t>
      </w:r>
      <w:r w:rsidR="005043B5">
        <w:rPr>
          <w:b w:val="0"/>
        </w:rPr>
        <w:t xml:space="preserve">needing to </w:t>
      </w:r>
      <w:r w:rsidR="005E36B9">
        <w:rPr>
          <w:b w:val="0"/>
        </w:rPr>
        <w:t>chang</w:t>
      </w:r>
      <w:r w:rsidR="005043B5">
        <w:rPr>
          <w:b w:val="0"/>
        </w:rPr>
        <w:t>e</w:t>
      </w:r>
      <w:r w:rsidR="005E36B9">
        <w:rPr>
          <w:b w:val="0"/>
        </w:rPr>
        <w:t xml:space="preserve"> the status. </w:t>
      </w:r>
      <w:r w:rsidR="00185338">
        <w:rPr>
          <w:b w:val="0"/>
        </w:rPr>
        <w:t>Clinical staff</w:t>
      </w:r>
      <w:r w:rsidR="006F395C">
        <w:rPr>
          <w:b w:val="0"/>
        </w:rPr>
        <w:t xml:space="preserve"> are e</w:t>
      </w:r>
      <w:r w:rsidR="005E36B9">
        <w:rPr>
          <w:b w:val="0"/>
        </w:rPr>
        <w:t>ncourage</w:t>
      </w:r>
      <w:r w:rsidR="006F395C">
        <w:rPr>
          <w:b w:val="0"/>
        </w:rPr>
        <w:t>d</w:t>
      </w:r>
      <w:r w:rsidR="005E36B9">
        <w:rPr>
          <w:b w:val="0"/>
        </w:rPr>
        <w:t xml:space="preserve"> to use this feature to </w:t>
      </w:r>
      <w:r w:rsidR="00DE77A9">
        <w:rPr>
          <w:b w:val="0"/>
        </w:rPr>
        <w:t xml:space="preserve">confirm </w:t>
      </w:r>
      <w:r w:rsidR="005E36B9">
        <w:rPr>
          <w:b w:val="0"/>
        </w:rPr>
        <w:t xml:space="preserve">data </w:t>
      </w:r>
      <w:r w:rsidR="00DE77A9">
        <w:rPr>
          <w:b w:val="0"/>
        </w:rPr>
        <w:t xml:space="preserve">are </w:t>
      </w:r>
      <w:r w:rsidR="005E36B9">
        <w:rPr>
          <w:b w:val="0"/>
        </w:rPr>
        <w:t>current in case indicator re</w:t>
      </w:r>
      <w:r w:rsidR="00921169">
        <w:rPr>
          <w:b w:val="0"/>
        </w:rPr>
        <w:t xml:space="preserve">quirements </w:t>
      </w:r>
      <w:r w:rsidR="00DE77A9">
        <w:rPr>
          <w:b w:val="0"/>
        </w:rPr>
        <w:t xml:space="preserve">for smoking status </w:t>
      </w:r>
      <w:r w:rsidR="00921169">
        <w:rPr>
          <w:b w:val="0"/>
        </w:rPr>
        <w:t>change.</w:t>
      </w:r>
      <w:r w:rsidR="00DE77A9">
        <w:rPr>
          <w:b w:val="0"/>
        </w:rPr>
        <w:t xml:space="preserve"> T</w:t>
      </w:r>
      <w:r w:rsidR="00213DF6" w:rsidRPr="00F96F0A">
        <w:rPr>
          <w:b w:val="0"/>
        </w:rPr>
        <w:t>h</w:t>
      </w:r>
      <w:r w:rsidR="00CF79EC">
        <w:rPr>
          <w:b w:val="0"/>
        </w:rPr>
        <w:t>is</w:t>
      </w:r>
      <w:r w:rsidR="004C2C29">
        <w:rPr>
          <w:b w:val="0"/>
        </w:rPr>
        <w:t xml:space="preserve"> </w:t>
      </w:r>
      <w:r w:rsidR="00213DF6" w:rsidRPr="00F96F0A">
        <w:rPr>
          <w:b w:val="0"/>
        </w:rPr>
        <w:t xml:space="preserve">screenshot </w:t>
      </w:r>
      <w:r w:rsidR="00DE77A9">
        <w:rPr>
          <w:b w:val="0"/>
        </w:rPr>
        <w:t>shows</w:t>
      </w:r>
      <w:r w:rsidR="00DE77A9" w:rsidRPr="00F96F0A">
        <w:rPr>
          <w:b w:val="0"/>
        </w:rPr>
        <w:t xml:space="preserve"> </w:t>
      </w:r>
      <w:r w:rsidR="00213DF6" w:rsidRPr="00F96F0A">
        <w:rPr>
          <w:b w:val="0"/>
        </w:rPr>
        <w:t>where to update the assessment date</w:t>
      </w:r>
      <w:r w:rsidR="004C2C29">
        <w:rPr>
          <w:b w:val="0"/>
        </w:rPr>
        <w:t xml:space="preserve"> in Best Practice</w:t>
      </w:r>
      <w:r w:rsidR="00213DF6" w:rsidRPr="00F96F0A">
        <w:rPr>
          <w:b w:val="0"/>
        </w:rPr>
        <w:t>.</w:t>
      </w:r>
    </w:p>
    <w:p w14:paraId="61CFF869" w14:textId="1F203E32" w:rsidR="006B176B" w:rsidRPr="006B176B" w:rsidRDefault="00F96F0A" w:rsidP="006B176B">
      <w:pPr>
        <w:pStyle w:val="Bodytext-emhasisSH"/>
        <w:rPr>
          <w:b w:val="0"/>
          <w:bCs w:val="0"/>
        </w:rPr>
      </w:pPr>
      <w:r w:rsidRPr="00F96F0A">
        <w:rPr>
          <w:b w:val="0"/>
          <w:bCs w:val="0"/>
          <w:noProof/>
        </w:rPr>
        <w:lastRenderedPageBreak/>
        <w:drawing>
          <wp:inline distT="0" distB="0" distL="0" distR="0" wp14:anchorId="32FECB59" wp14:editId="1C5485D5">
            <wp:extent cx="5700849" cy="4598670"/>
            <wp:effectExtent l="25400" t="25400" r="90805" b="87630"/>
            <wp:docPr id="1501239080" name="Picture 1" descr="A screenshot of where to update the assessment date in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39080" name="Picture 1" descr="A screenshot of where to update the assessment date in Best Practice."/>
                    <pic:cNvPicPr/>
                  </pic:nvPicPr>
                  <pic:blipFill rotWithShape="1">
                    <a:blip r:embed="rId12"/>
                    <a:srcRect l="468"/>
                    <a:stretch>
                      <a:fillRect/>
                    </a:stretch>
                  </pic:blipFill>
                  <pic:spPr bwMode="auto">
                    <a:xfrm>
                      <a:off x="0" y="0"/>
                      <a:ext cx="5700849" cy="459867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1E0610D" w14:textId="37B0AA84" w:rsidR="002B3B2A" w:rsidRPr="00DC5DCF" w:rsidRDefault="004059B4" w:rsidP="005043B5">
      <w:pPr>
        <w:pStyle w:val="SubheadingSH"/>
      </w:pPr>
      <w:r>
        <w:t xml:space="preserve">Baby </w:t>
      </w:r>
      <w:r w:rsidR="00132BAC">
        <w:t>b</w:t>
      </w:r>
      <w:r>
        <w:t>irthweight – PI13</w:t>
      </w:r>
      <w:r w:rsidR="0035436F">
        <w:t xml:space="preserve"> enhancement</w:t>
      </w:r>
    </w:p>
    <w:p w14:paraId="5E16B0F3" w14:textId="77777777" w:rsidR="00CF79EC" w:rsidRDefault="00B55E93" w:rsidP="004059B4">
      <w:pPr>
        <w:pStyle w:val="BodytextSH"/>
      </w:pPr>
      <w:r>
        <w:t xml:space="preserve">Best Practice </w:t>
      </w:r>
      <w:r w:rsidR="00502F6D">
        <w:t xml:space="preserve">has </w:t>
      </w:r>
      <w:r>
        <w:t xml:space="preserve">not </w:t>
      </w:r>
      <w:r w:rsidR="00502F6D">
        <w:t xml:space="preserve">historically applied </w:t>
      </w:r>
      <w:r>
        <w:t>filters for birthweight or gestational age when counting</w:t>
      </w:r>
      <w:r w:rsidR="00235579">
        <w:t xml:space="preserve"> births for PI13</w:t>
      </w:r>
      <w:r w:rsidR="00502F6D">
        <w:t>; this meant</w:t>
      </w:r>
      <w:r w:rsidR="00235579">
        <w:t xml:space="preserve"> all recorded births were included in the indicator.</w:t>
      </w:r>
      <w:r w:rsidR="00CC78B4">
        <w:t xml:space="preserve"> </w:t>
      </w:r>
      <w:r w:rsidR="00235579">
        <w:t>As of</w:t>
      </w:r>
      <w:r w:rsidR="00CC78B4">
        <w:t xml:space="preserve"> the January 2025 reporting round, </w:t>
      </w:r>
      <w:r w:rsidR="005043B5">
        <w:t xml:space="preserve">the </w:t>
      </w:r>
      <w:r w:rsidR="00502F6D">
        <w:t>Best Practice</w:t>
      </w:r>
      <w:r w:rsidR="00CC78B4">
        <w:t xml:space="preserve"> </w:t>
      </w:r>
      <w:r w:rsidR="005043B5">
        <w:t xml:space="preserve">reporting tool </w:t>
      </w:r>
      <w:r w:rsidR="00035F12">
        <w:t>has been</w:t>
      </w:r>
      <w:r w:rsidR="00CC78B4">
        <w:t xml:space="preserve"> updated to align with the Specifications which </w:t>
      </w:r>
      <w:r w:rsidR="00447B99">
        <w:t>specify</w:t>
      </w:r>
      <w:r w:rsidR="00CC78B4">
        <w:t xml:space="preserve"> </w:t>
      </w:r>
      <w:r w:rsidR="00DC08D5">
        <w:t xml:space="preserve">inclusion </w:t>
      </w:r>
      <w:r w:rsidR="00CC78B4">
        <w:t>only</w:t>
      </w:r>
      <w:r w:rsidR="00DC08D5">
        <w:t xml:space="preserve"> for</w:t>
      </w:r>
      <w:r w:rsidR="00CC78B4">
        <w:t xml:space="preserve"> births with a birthweight of 400g or more, or a gestational age of 20 weeks or more. </w:t>
      </w:r>
    </w:p>
    <w:p w14:paraId="1CC80D19" w14:textId="584805E3" w:rsidR="00FF61B2" w:rsidRDefault="00CC78B4" w:rsidP="004059B4">
      <w:pPr>
        <w:pStyle w:val="BodytextSH"/>
      </w:pPr>
      <w:r>
        <w:t>The</w:t>
      </w:r>
      <w:r w:rsidR="00B55C88">
        <w:t xml:space="preserve"> Specifications and reporting</w:t>
      </w:r>
      <w:r>
        <w:t xml:space="preserve"> requirements</w:t>
      </w:r>
      <w:r w:rsidR="00B55C88">
        <w:t xml:space="preserve"> haven’t changed</w:t>
      </w:r>
      <w:r>
        <w:t xml:space="preserve">; this update just ensures Best Practice is </w:t>
      </w:r>
      <w:r w:rsidR="007602A7">
        <w:t>now</w:t>
      </w:r>
      <w:r>
        <w:t xml:space="preserve"> correctly</w:t>
      </w:r>
      <w:r w:rsidR="007602A7">
        <w:t xml:space="preserve"> applying the</w:t>
      </w:r>
      <w:r w:rsidR="005043B5">
        <w:t xml:space="preserve"> reporting rules</w:t>
      </w:r>
      <w:r>
        <w:t xml:space="preserve">. </w:t>
      </w:r>
    </w:p>
    <w:p w14:paraId="61E56C65" w14:textId="536C7C95" w:rsidR="0063247C" w:rsidRPr="0063247C" w:rsidRDefault="0063247C" w:rsidP="006E25AB">
      <w:pPr>
        <w:pStyle w:val="Bodytext-emhasisSH"/>
      </w:pPr>
      <w:r w:rsidRPr="0063247C">
        <w:t xml:space="preserve">NOTE: </w:t>
      </w:r>
      <w:r w:rsidR="008B6F62">
        <w:rPr>
          <w:b w:val="0"/>
        </w:rPr>
        <w:t>Y</w:t>
      </w:r>
      <w:r w:rsidR="00735D31" w:rsidRPr="00735D31">
        <w:rPr>
          <w:b w:val="0"/>
        </w:rPr>
        <w:t>ou m</w:t>
      </w:r>
      <w:r w:rsidR="00CF79EC">
        <w:rPr>
          <w:b w:val="0"/>
        </w:rPr>
        <w:t>ay</w:t>
      </w:r>
      <w:r w:rsidR="00735D31" w:rsidRPr="00735D31">
        <w:rPr>
          <w:b w:val="0"/>
        </w:rPr>
        <w:t xml:space="preserve"> notice a slight decrease in </w:t>
      </w:r>
      <w:r w:rsidR="00D1076D">
        <w:rPr>
          <w:b w:val="0"/>
        </w:rPr>
        <w:t xml:space="preserve">reported </w:t>
      </w:r>
      <w:r w:rsidR="00786103">
        <w:rPr>
          <w:b w:val="0"/>
        </w:rPr>
        <w:t xml:space="preserve">birth </w:t>
      </w:r>
      <w:r w:rsidR="00735D31" w:rsidRPr="00735D31">
        <w:rPr>
          <w:b w:val="0"/>
        </w:rPr>
        <w:t>numbers</w:t>
      </w:r>
      <w:r w:rsidR="00786103">
        <w:rPr>
          <w:b w:val="0"/>
        </w:rPr>
        <w:t xml:space="preserve"> compared to</w:t>
      </w:r>
      <w:r w:rsidR="003F06CF">
        <w:rPr>
          <w:b w:val="0"/>
        </w:rPr>
        <w:t xml:space="preserve"> </w:t>
      </w:r>
      <w:r w:rsidR="00D31CE5">
        <w:rPr>
          <w:b w:val="0"/>
        </w:rPr>
        <w:t>previous rounds</w:t>
      </w:r>
      <w:r w:rsidR="00735D31" w:rsidRPr="00735D31">
        <w:rPr>
          <w:b w:val="0"/>
        </w:rPr>
        <w:t>.</w:t>
      </w:r>
    </w:p>
    <w:p w14:paraId="5834CC39" w14:textId="52E7B1AC" w:rsidR="004059B4" w:rsidRDefault="005E56A5" w:rsidP="005043B5">
      <w:pPr>
        <w:pStyle w:val="SubheadingSH"/>
      </w:pPr>
      <w:r>
        <w:t xml:space="preserve">Alcohol </w:t>
      </w:r>
      <w:r w:rsidR="00132BAC">
        <w:t>s</w:t>
      </w:r>
      <w:r>
        <w:t>tatus – PI16</w:t>
      </w:r>
    </w:p>
    <w:p w14:paraId="62D1A6BD" w14:textId="77777777" w:rsidR="00CF79EC" w:rsidRDefault="00CF79EC" w:rsidP="00CF79EC">
      <w:pPr>
        <w:pStyle w:val="BodytextSH"/>
      </w:pPr>
      <w:r>
        <w:t xml:space="preserve">The Best Practice nKPI report only counts alcohol consumption status that’s recorded in the alcohol history tab. This means that if an AUDIT-C assessment has been completed for a client, but no alcohol history is recorded, they will not be counted in the measure. </w:t>
      </w:r>
    </w:p>
    <w:p w14:paraId="2AE271C6" w14:textId="6E06D0A4" w:rsidR="004152A2" w:rsidRDefault="004152A2" w:rsidP="005E56A5">
      <w:pPr>
        <w:pStyle w:val="BodytextSH"/>
      </w:pPr>
      <w:r>
        <w:t>For alcohol history to be counted as recorded, either tick the ‘</w:t>
      </w:r>
      <w:proofErr w:type="spellStart"/>
      <w:r>
        <w:t>Non drinker</w:t>
      </w:r>
      <w:proofErr w:type="spellEnd"/>
      <w:r>
        <w:t>’ checkbox or fill out ‘Days per week’ and/or ‘Standard drinks per day’, in the Alcohol tab of the Family and Social History section</w:t>
      </w:r>
      <w:r w:rsidR="00316466">
        <w:t xml:space="preserve"> as illustrated in the screenshot below</w:t>
      </w:r>
      <w:r>
        <w:t xml:space="preserve">. </w:t>
      </w:r>
    </w:p>
    <w:p w14:paraId="1BC67500" w14:textId="28AAEA8B" w:rsidR="0024603E" w:rsidRDefault="0024603E" w:rsidP="006E25AB">
      <w:pPr>
        <w:pStyle w:val="Bodytext-emhasisSH"/>
        <w:rPr>
          <w:b w:val="0"/>
          <w:bCs w:val="0"/>
        </w:rPr>
      </w:pPr>
      <w:r>
        <w:t xml:space="preserve">TIP: </w:t>
      </w:r>
      <w:r w:rsidR="005C31F0">
        <w:rPr>
          <w:b w:val="0"/>
          <w:bCs w:val="0"/>
        </w:rPr>
        <w:t>Encourage clinicians to update the</w:t>
      </w:r>
      <w:r w:rsidR="004E5DCE">
        <w:rPr>
          <w:b w:val="0"/>
          <w:bCs w:val="0"/>
        </w:rPr>
        <w:t xml:space="preserve"> </w:t>
      </w:r>
      <w:r w:rsidR="004E5DCE" w:rsidRPr="000663E7">
        <w:rPr>
          <w:b w:val="0"/>
          <w:bCs w:val="0"/>
        </w:rPr>
        <w:t>alcohol history</w:t>
      </w:r>
      <w:r w:rsidR="004E5DCE">
        <w:rPr>
          <w:b w:val="0"/>
          <w:bCs w:val="0"/>
        </w:rPr>
        <w:t xml:space="preserve"> after completing an AUDIT-C to ensure </w:t>
      </w:r>
      <w:r w:rsidR="003A13EF">
        <w:rPr>
          <w:b w:val="0"/>
          <w:bCs w:val="0"/>
        </w:rPr>
        <w:t xml:space="preserve">clients </w:t>
      </w:r>
      <w:r w:rsidR="004E5DCE">
        <w:rPr>
          <w:b w:val="0"/>
          <w:bCs w:val="0"/>
        </w:rPr>
        <w:t xml:space="preserve">are </w:t>
      </w:r>
      <w:r w:rsidR="0044422F">
        <w:rPr>
          <w:b w:val="0"/>
          <w:bCs w:val="0"/>
        </w:rPr>
        <w:t xml:space="preserve">counted </w:t>
      </w:r>
      <w:r w:rsidR="004E5DCE">
        <w:rPr>
          <w:b w:val="0"/>
          <w:bCs w:val="0"/>
        </w:rPr>
        <w:t>in the report.</w:t>
      </w:r>
    </w:p>
    <w:p w14:paraId="5CD7AA52" w14:textId="42AD6780" w:rsidR="00C26AAD" w:rsidRDefault="00C26AAD" w:rsidP="00C26AAD">
      <w:pPr>
        <w:pStyle w:val="BodytextSH"/>
      </w:pPr>
      <w:r>
        <w:lastRenderedPageBreak/>
        <w:t>Alcohol consumption must be recorded within the past 24 months to be counted</w:t>
      </w:r>
      <w:r w:rsidR="00E02E25">
        <w:t xml:space="preserve"> towards PI16</w:t>
      </w:r>
      <w:r>
        <w:t>.</w:t>
      </w:r>
      <w:r w:rsidR="00CF79EC">
        <w:t xml:space="preserve"> Even when there is no change in status the alcohol history needs to be updated for it to be counted as assessed within the specified time period. </w:t>
      </w:r>
      <w:r>
        <w:t xml:space="preserve"> </w:t>
      </w:r>
    </w:p>
    <w:p w14:paraId="59A6947B" w14:textId="4FCA83A6" w:rsidR="00C26AAD" w:rsidRDefault="00C26AAD" w:rsidP="006E25AB">
      <w:pPr>
        <w:pStyle w:val="Bodytext-emhasisSH"/>
        <w:rPr>
          <w:b w:val="0"/>
          <w:bCs w:val="0"/>
        </w:rPr>
      </w:pPr>
      <w:r w:rsidRPr="005C2BEB">
        <w:t xml:space="preserve">TIP: </w:t>
      </w:r>
      <w:r w:rsidR="005C2BEB" w:rsidRPr="005C2BEB">
        <w:rPr>
          <w:b w:val="0"/>
          <w:bCs w:val="0"/>
        </w:rPr>
        <w:t>If the</w:t>
      </w:r>
      <w:r w:rsidR="001472B9">
        <w:rPr>
          <w:b w:val="0"/>
          <w:bCs w:val="0"/>
        </w:rPr>
        <w:t>re is no change in the</w:t>
      </w:r>
      <w:r w:rsidR="005C2BEB" w:rsidRPr="005C2BEB">
        <w:rPr>
          <w:b w:val="0"/>
          <w:bCs w:val="0"/>
        </w:rPr>
        <w:t xml:space="preserve"> client</w:t>
      </w:r>
      <w:r w:rsidR="005C2BEB">
        <w:rPr>
          <w:b w:val="0"/>
          <w:bCs w:val="0"/>
        </w:rPr>
        <w:t>’</w:t>
      </w:r>
      <w:r w:rsidR="005C2BEB" w:rsidRPr="005C2BEB">
        <w:rPr>
          <w:b w:val="0"/>
          <w:bCs w:val="0"/>
        </w:rPr>
        <w:t xml:space="preserve">s drinking status, Best Practice recommends </w:t>
      </w:r>
      <w:r w:rsidR="00CF79EC" w:rsidRPr="005C2BEB">
        <w:rPr>
          <w:b w:val="0"/>
          <w:bCs w:val="0"/>
        </w:rPr>
        <w:t xml:space="preserve">in </w:t>
      </w:r>
      <w:r w:rsidR="00CF79EC">
        <w:rPr>
          <w:b w:val="0"/>
          <w:bCs w:val="0"/>
        </w:rPr>
        <w:t xml:space="preserve">the alcohol tab either </w:t>
      </w:r>
      <w:r w:rsidR="005C2BEB" w:rsidRPr="005C2BEB">
        <w:rPr>
          <w:b w:val="0"/>
          <w:bCs w:val="0"/>
        </w:rPr>
        <w:t xml:space="preserve">adding a note </w:t>
      </w:r>
      <w:r w:rsidR="00CF79EC">
        <w:rPr>
          <w:b w:val="0"/>
          <w:bCs w:val="0"/>
        </w:rPr>
        <w:t xml:space="preserve">in </w:t>
      </w:r>
      <w:r w:rsidR="005C2BEB" w:rsidRPr="005C2BEB">
        <w:rPr>
          <w:b w:val="0"/>
          <w:bCs w:val="0"/>
        </w:rPr>
        <w:t xml:space="preserve">the Description field or </w:t>
      </w:r>
      <w:r w:rsidR="00CF79EC">
        <w:rPr>
          <w:b w:val="0"/>
          <w:bCs w:val="0"/>
        </w:rPr>
        <w:t xml:space="preserve">adding </w:t>
      </w:r>
      <w:r w:rsidR="005C2BEB" w:rsidRPr="005C2BEB">
        <w:rPr>
          <w:b w:val="0"/>
          <w:bCs w:val="0"/>
        </w:rPr>
        <w:t xml:space="preserve">a </w:t>
      </w:r>
      <w:r w:rsidR="00CF79EC">
        <w:rPr>
          <w:b w:val="0"/>
          <w:bCs w:val="0"/>
        </w:rPr>
        <w:t>C</w:t>
      </w:r>
      <w:r w:rsidR="005C2BEB" w:rsidRPr="005C2BEB">
        <w:rPr>
          <w:b w:val="0"/>
          <w:bCs w:val="0"/>
        </w:rPr>
        <w:t>omment to indicate the client’s alcohol status has been assessed; this will ‘date stamp’ the alcohol status to reflect the assessment date.</w:t>
      </w:r>
    </w:p>
    <w:p w14:paraId="0E175B18" w14:textId="0E212562" w:rsidR="002C026F" w:rsidRDefault="002C026F" w:rsidP="006E25AB">
      <w:pPr>
        <w:pStyle w:val="Bodytext-emhasisSH"/>
        <w:rPr>
          <w:b w:val="0"/>
          <w:bCs w:val="0"/>
        </w:rPr>
      </w:pPr>
      <w:r w:rsidRPr="002C026F">
        <w:rPr>
          <w:b w:val="0"/>
          <w:bCs w:val="0"/>
          <w:noProof/>
        </w:rPr>
        <w:drawing>
          <wp:inline distT="0" distB="0" distL="0" distR="0" wp14:anchorId="28A3DA4C" wp14:editId="3D460EA0">
            <wp:extent cx="4231750" cy="3410734"/>
            <wp:effectExtent l="38100" t="38100" r="86360" b="94615"/>
            <wp:docPr id="1500492524" name="Picture 1" descr="A screenshot of Family &amp; Social History Current Alcohol Int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92524" name="Picture 1" descr="A screenshot of Family &amp; Social History Current Alcohol Intake "/>
                    <pic:cNvPicPr/>
                  </pic:nvPicPr>
                  <pic:blipFill>
                    <a:blip r:embed="rId13"/>
                    <a:stretch>
                      <a:fillRect/>
                    </a:stretch>
                  </pic:blipFill>
                  <pic:spPr>
                    <a:xfrm>
                      <a:off x="0" y="0"/>
                      <a:ext cx="4266532" cy="3438768"/>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inline>
        </w:drawing>
      </w:r>
    </w:p>
    <w:p w14:paraId="536FBAC1" w14:textId="5237C6EB" w:rsidR="004A34BF" w:rsidRPr="004A34BF" w:rsidRDefault="004A34BF" w:rsidP="004A34BF">
      <w:pPr>
        <w:pStyle w:val="SubheadingSH"/>
      </w:pPr>
      <w:r w:rsidRPr="004A34BF">
        <w:t>Cervical Screening (HPV) – PI22</w:t>
      </w:r>
    </w:p>
    <w:p w14:paraId="5FC1954A" w14:textId="67D469F3" w:rsidR="00C253B7" w:rsidRDefault="00711EA4" w:rsidP="006E25AB">
      <w:pPr>
        <w:pStyle w:val="Bodytext-emhasisSH"/>
        <w:rPr>
          <w:b w:val="0"/>
          <w:bCs w:val="0"/>
        </w:rPr>
      </w:pPr>
      <w:r>
        <w:rPr>
          <w:b w:val="0"/>
          <w:bCs w:val="0"/>
        </w:rPr>
        <w:t>Best Practice counts cervical screening recor</w:t>
      </w:r>
      <w:r w:rsidR="004E7536">
        <w:rPr>
          <w:b w:val="0"/>
          <w:bCs w:val="0"/>
        </w:rPr>
        <w:t>d</w:t>
      </w:r>
      <w:r>
        <w:rPr>
          <w:b w:val="0"/>
          <w:bCs w:val="0"/>
        </w:rPr>
        <w:t xml:space="preserve">ed in the </w:t>
      </w:r>
      <w:r w:rsidR="003C31BA">
        <w:rPr>
          <w:b w:val="0"/>
          <w:bCs w:val="0"/>
        </w:rPr>
        <w:t>cervical screening record.</w:t>
      </w:r>
      <w:r w:rsidR="00CA3D71">
        <w:rPr>
          <w:b w:val="0"/>
          <w:bCs w:val="0"/>
        </w:rPr>
        <w:t xml:space="preserve"> Results </w:t>
      </w:r>
      <w:r w:rsidR="0028202D">
        <w:rPr>
          <w:b w:val="0"/>
          <w:bCs w:val="0"/>
        </w:rPr>
        <w:t xml:space="preserve">received </w:t>
      </w:r>
      <w:r w:rsidR="00F17296">
        <w:rPr>
          <w:b w:val="0"/>
          <w:bCs w:val="0"/>
        </w:rPr>
        <w:t xml:space="preserve">electronically </w:t>
      </w:r>
      <w:r w:rsidR="0028202D">
        <w:rPr>
          <w:b w:val="0"/>
          <w:bCs w:val="0"/>
        </w:rPr>
        <w:t xml:space="preserve">as investigations </w:t>
      </w:r>
      <w:r w:rsidR="00CA3D71">
        <w:rPr>
          <w:b w:val="0"/>
          <w:bCs w:val="0"/>
        </w:rPr>
        <w:t xml:space="preserve">must be </w:t>
      </w:r>
      <w:r w:rsidR="00A9014A">
        <w:rPr>
          <w:b w:val="0"/>
          <w:bCs w:val="0"/>
        </w:rPr>
        <w:t>actioned</w:t>
      </w:r>
      <w:r w:rsidR="00F265B2">
        <w:rPr>
          <w:b w:val="0"/>
          <w:bCs w:val="0"/>
        </w:rPr>
        <w:t>,</w:t>
      </w:r>
      <w:r w:rsidR="00A9014A">
        <w:rPr>
          <w:b w:val="0"/>
          <w:bCs w:val="0"/>
        </w:rPr>
        <w:t xml:space="preserve"> </w:t>
      </w:r>
      <w:r w:rsidR="00CA3D71">
        <w:rPr>
          <w:b w:val="0"/>
          <w:bCs w:val="0"/>
        </w:rPr>
        <w:t>just like other pathology investigation requests.</w:t>
      </w:r>
      <w:r w:rsidR="001520BF">
        <w:rPr>
          <w:b w:val="0"/>
          <w:bCs w:val="0"/>
        </w:rPr>
        <w:t xml:space="preserve"> </w:t>
      </w:r>
      <w:r w:rsidR="007F305F">
        <w:rPr>
          <w:b w:val="0"/>
          <w:bCs w:val="0"/>
        </w:rPr>
        <w:t xml:space="preserve">The </w:t>
      </w:r>
      <w:r w:rsidR="0035436F">
        <w:rPr>
          <w:b w:val="0"/>
          <w:bCs w:val="0"/>
        </w:rPr>
        <w:t xml:space="preserve">button labelled </w:t>
      </w:r>
      <w:r w:rsidR="007F305F">
        <w:rPr>
          <w:b w:val="0"/>
          <w:bCs w:val="0"/>
        </w:rPr>
        <w:t xml:space="preserve">‘Add CST result’ ensures the </w:t>
      </w:r>
      <w:r w:rsidR="00254921">
        <w:rPr>
          <w:b w:val="0"/>
          <w:bCs w:val="0"/>
        </w:rPr>
        <w:t xml:space="preserve">investigation is </w:t>
      </w:r>
      <w:r w:rsidR="00C60F54">
        <w:rPr>
          <w:b w:val="0"/>
          <w:bCs w:val="0"/>
        </w:rPr>
        <w:t>added to the client’s cervical screening record</w:t>
      </w:r>
      <w:r w:rsidR="00254921">
        <w:rPr>
          <w:b w:val="0"/>
          <w:bCs w:val="0"/>
        </w:rPr>
        <w:t>.</w:t>
      </w:r>
      <w:r w:rsidR="00C253B7">
        <w:rPr>
          <w:b w:val="0"/>
          <w:bCs w:val="0"/>
        </w:rPr>
        <w:t xml:space="preserve"> </w:t>
      </w:r>
    </w:p>
    <w:p w14:paraId="6BD6B330" w14:textId="7D772D97" w:rsidR="004A34BF" w:rsidRDefault="00254921" w:rsidP="006E25AB">
      <w:pPr>
        <w:pStyle w:val="Bodytext-emhasisSH"/>
        <w:rPr>
          <w:b w:val="0"/>
          <w:bCs w:val="0"/>
        </w:rPr>
      </w:pPr>
      <w:r>
        <w:rPr>
          <w:b w:val="0"/>
          <w:bCs w:val="0"/>
        </w:rPr>
        <w:t>S</w:t>
      </w:r>
      <w:r w:rsidR="003D7C8F">
        <w:rPr>
          <w:b w:val="0"/>
          <w:bCs w:val="0"/>
        </w:rPr>
        <w:t xml:space="preserve">creening </w:t>
      </w:r>
      <w:r>
        <w:rPr>
          <w:b w:val="0"/>
          <w:bCs w:val="0"/>
        </w:rPr>
        <w:t xml:space="preserve">that </w:t>
      </w:r>
      <w:r w:rsidR="003D7C8F">
        <w:rPr>
          <w:b w:val="0"/>
          <w:bCs w:val="0"/>
        </w:rPr>
        <w:t xml:space="preserve">is </w:t>
      </w:r>
      <w:r w:rsidR="00FF4D0E">
        <w:rPr>
          <w:b w:val="0"/>
          <w:bCs w:val="0"/>
        </w:rPr>
        <w:t>s</w:t>
      </w:r>
      <w:r w:rsidR="003D7C8F">
        <w:rPr>
          <w:b w:val="0"/>
          <w:bCs w:val="0"/>
        </w:rPr>
        <w:t>elf-collected</w:t>
      </w:r>
      <w:r w:rsidR="00CB562F">
        <w:rPr>
          <w:b w:val="0"/>
          <w:bCs w:val="0"/>
        </w:rPr>
        <w:t>, and results performed elsewhere, should be manually added in the cervical screening record.</w:t>
      </w:r>
      <w:r w:rsidR="00DF1D94">
        <w:rPr>
          <w:b w:val="0"/>
          <w:bCs w:val="0"/>
        </w:rPr>
        <w:t xml:space="preserve"> </w:t>
      </w:r>
      <w:r w:rsidR="00F17296">
        <w:rPr>
          <w:b w:val="0"/>
          <w:bCs w:val="0"/>
        </w:rPr>
        <w:t xml:space="preserve">Results performed elsewhere </w:t>
      </w:r>
      <w:r w:rsidR="0035436F">
        <w:rPr>
          <w:b w:val="0"/>
          <w:bCs w:val="0"/>
        </w:rPr>
        <w:t>are sometimes</w:t>
      </w:r>
      <w:r w:rsidR="00F17296">
        <w:rPr>
          <w:b w:val="0"/>
          <w:bCs w:val="0"/>
        </w:rPr>
        <w:t xml:space="preserve"> received electronically as results copied to the health service; in these scenarios they are managed as electronically received pathology. </w:t>
      </w:r>
      <w:r w:rsidR="000512B6">
        <w:rPr>
          <w:b w:val="0"/>
          <w:bCs w:val="0"/>
        </w:rPr>
        <w:t>When confirmation of screening elsewhere is</w:t>
      </w:r>
      <w:r w:rsidR="00797D48">
        <w:rPr>
          <w:b w:val="0"/>
          <w:bCs w:val="0"/>
        </w:rPr>
        <w:t xml:space="preserve"> received in </w:t>
      </w:r>
      <w:r w:rsidR="000512B6">
        <w:rPr>
          <w:b w:val="0"/>
          <w:bCs w:val="0"/>
        </w:rPr>
        <w:t>correspondence</w:t>
      </w:r>
      <w:r w:rsidR="00067A6D">
        <w:rPr>
          <w:b w:val="0"/>
          <w:bCs w:val="0"/>
        </w:rPr>
        <w:t xml:space="preserve"> and scanned into the record</w:t>
      </w:r>
      <w:r w:rsidR="0035436F">
        <w:rPr>
          <w:b w:val="0"/>
          <w:bCs w:val="0"/>
        </w:rPr>
        <w:t>, for example</w:t>
      </w:r>
      <w:r w:rsidR="000512B6">
        <w:rPr>
          <w:b w:val="0"/>
          <w:bCs w:val="0"/>
        </w:rPr>
        <w:t xml:space="preserve"> in </w:t>
      </w:r>
      <w:r w:rsidR="00067A6D">
        <w:rPr>
          <w:b w:val="0"/>
          <w:bCs w:val="0"/>
        </w:rPr>
        <w:t xml:space="preserve">a </w:t>
      </w:r>
      <w:r w:rsidR="00797D48">
        <w:rPr>
          <w:b w:val="0"/>
          <w:bCs w:val="0"/>
        </w:rPr>
        <w:t xml:space="preserve">referral </w:t>
      </w:r>
      <w:r w:rsidR="00172831">
        <w:rPr>
          <w:b w:val="0"/>
          <w:bCs w:val="0"/>
        </w:rPr>
        <w:t>letter</w:t>
      </w:r>
      <w:r w:rsidR="00067A6D">
        <w:rPr>
          <w:b w:val="0"/>
          <w:bCs w:val="0"/>
        </w:rPr>
        <w:t xml:space="preserve"> stored as a document</w:t>
      </w:r>
      <w:r w:rsidR="00172831">
        <w:rPr>
          <w:b w:val="0"/>
          <w:bCs w:val="0"/>
        </w:rPr>
        <w:t>,</w:t>
      </w:r>
      <w:r w:rsidR="00797D48">
        <w:rPr>
          <w:b w:val="0"/>
          <w:bCs w:val="0"/>
        </w:rPr>
        <w:t xml:space="preserve"> </w:t>
      </w:r>
      <w:r w:rsidR="000512B6">
        <w:rPr>
          <w:b w:val="0"/>
          <w:bCs w:val="0"/>
        </w:rPr>
        <w:t xml:space="preserve">it </w:t>
      </w:r>
      <w:r w:rsidR="00797D48">
        <w:rPr>
          <w:b w:val="0"/>
          <w:bCs w:val="0"/>
        </w:rPr>
        <w:t xml:space="preserve">will need to be manually entered </w:t>
      </w:r>
      <w:r w:rsidR="000512B6">
        <w:rPr>
          <w:b w:val="0"/>
          <w:bCs w:val="0"/>
        </w:rPr>
        <w:t xml:space="preserve">for it </w:t>
      </w:r>
      <w:r w:rsidR="00797D48">
        <w:rPr>
          <w:b w:val="0"/>
          <w:bCs w:val="0"/>
        </w:rPr>
        <w:t>to be counted in PI22.</w:t>
      </w:r>
    </w:p>
    <w:p w14:paraId="0BA59CBD" w14:textId="723D80A1" w:rsidR="004E7536" w:rsidRDefault="006941BF" w:rsidP="006E25AB">
      <w:pPr>
        <w:pStyle w:val="Bodytext-emhasisSH"/>
        <w:rPr>
          <w:b w:val="0"/>
          <w:bCs w:val="0"/>
        </w:rPr>
      </w:pPr>
      <w:r w:rsidRPr="006941BF">
        <w:t>T</w:t>
      </w:r>
      <w:r w:rsidR="004E7536" w:rsidRPr="006941BF">
        <w:t>IP:</w:t>
      </w:r>
      <w:r w:rsidR="004E7536">
        <w:rPr>
          <w:b w:val="0"/>
          <w:bCs w:val="0"/>
        </w:rPr>
        <w:t xml:space="preserve"> When actioning an investigation result remember to </w:t>
      </w:r>
      <w:r w:rsidR="003F5A1A">
        <w:rPr>
          <w:b w:val="0"/>
          <w:bCs w:val="0"/>
        </w:rPr>
        <w:t xml:space="preserve">use the </w:t>
      </w:r>
      <w:r w:rsidR="0099049E">
        <w:rPr>
          <w:b w:val="0"/>
          <w:bCs w:val="0"/>
        </w:rPr>
        <w:t xml:space="preserve">‘Add CST result’ button </w:t>
      </w:r>
      <w:r w:rsidR="0063458D">
        <w:rPr>
          <w:b w:val="0"/>
          <w:bCs w:val="0"/>
        </w:rPr>
        <w:t>to add the test to the client’s cervical screening record.</w:t>
      </w:r>
      <w:r w:rsidR="004E7536">
        <w:rPr>
          <w:b w:val="0"/>
          <w:bCs w:val="0"/>
        </w:rPr>
        <w:t xml:space="preserve"> </w:t>
      </w:r>
    </w:p>
    <w:p w14:paraId="68218541" w14:textId="6D6EEDF1" w:rsidR="003F75C5" w:rsidRPr="00A61C76" w:rsidRDefault="000E295A" w:rsidP="006E25AB">
      <w:pPr>
        <w:pStyle w:val="Bodytext-emhasisSH"/>
        <w:rPr>
          <w:b w:val="0"/>
          <w:bCs w:val="0"/>
        </w:rPr>
      </w:pPr>
      <w:r w:rsidRPr="000E295A">
        <w:t>NOTE:</w:t>
      </w:r>
      <w:r>
        <w:rPr>
          <w:b w:val="0"/>
          <w:bCs w:val="0"/>
        </w:rPr>
        <w:t xml:space="preserve"> </w:t>
      </w:r>
      <w:r w:rsidR="003F75C5">
        <w:rPr>
          <w:b w:val="0"/>
          <w:bCs w:val="0"/>
        </w:rPr>
        <w:t xml:space="preserve">The National Cancer Screening Register </w:t>
      </w:r>
      <w:r w:rsidR="008E4977">
        <w:rPr>
          <w:b w:val="0"/>
          <w:bCs w:val="0"/>
        </w:rPr>
        <w:t xml:space="preserve">(NCSR) </w:t>
      </w:r>
      <w:r w:rsidR="00357740">
        <w:rPr>
          <w:b w:val="0"/>
          <w:bCs w:val="0"/>
        </w:rPr>
        <w:t xml:space="preserve">is integrated with Best Practice. </w:t>
      </w:r>
      <w:r w:rsidR="006D5773">
        <w:rPr>
          <w:b w:val="0"/>
          <w:bCs w:val="0"/>
        </w:rPr>
        <w:t>This</w:t>
      </w:r>
      <w:r w:rsidR="008E4977">
        <w:rPr>
          <w:b w:val="0"/>
          <w:bCs w:val="0"/>
        </w:rPr>
        <w:t xml:space="preserve"> allows you to view a client’s latest NCSR data</w:t>
      </w:r>
      <w:r w:rsidR="006D5773">
        <w:rPr>
          <w:b w:val="0"/>
          <w:bCs w:val="0"/>
        </w:rPr>
        <w:t>. However,</w:t>
      </w:r>
      <w:r w:rsidR="008E4977">
        <w:rPr>
          <w:b w:val="0"/>
          <w:bCs w:val="0"/>
        </w:rPr>
        <w:t xml:space="preserve"> </w:t>
      </w:r>
      <w:r w:rsidR="002F580F">
        <w:rPr>
          <w:b w:val="0"/>
          <w:bCs w:val="0"/>
        </w:rPr>
        <w:t>there is no</w:t>
      </w:r>
      <w:r>
        <w:rPr>
          <w:b w:val="0"/>
          <w:bCs w:val="0"/>
        </w:rPr>
        <w:t xml:space="preserve"> </w:t>
      </w:r>
      <w:r w:rsidR="002F580F">
        <w:rPr>
          <w:b w:val="0"/>
          <w:bCs w:val="0"/>
        </w:rPr>
        <w:t xml:space="preserve">facility </w:t>
      </w:r>
      <w:r>
        <w:rPr>
          <w:b w:val="0"/>
          <w:bCs w:val="0"/>
        </w:rPr>
        <w:t xml:space="preserve">yet </w:t>
      </w:r>
      <w:r w:rsidR="002F580F">
        <w:rPr>
          <w:b w:val="0"/>
          <w:bCs w:val="0"/>
        </w:rPr>
        <w:t>to automatically</w:t>
      </w:r>
      <w:r>
        <w:rPr>
          <w:b w:val="0"/>
          <w:bCs w:val="0"/>
        </w:rPr>
        <w:t xml:space="preserve"> write this data back to the client’s record. </w:t>
      </w:r>
      <w:r w:rsidR="00E543F2">
        <w:rPr>
          <w:b w:val="0"/>
          <w:bCs w:val="0"/>
        </w:rPr>
        <w:t>Cervical screening history in the NCSR ma</w:t>
      </w:r>
      <w:r w:rsidR="004E6D9E">
        <w:rPr>
          <w:b w:val="0"/>
          <w:bCs w:val="0"/>
        </w:rPr>
        <w:t xml:space="preserve">y be relevant to PI22. </w:t>
      </w:r>
      <w:r>
        <w:rPr>
          <w:b w:val="0"/>
          <w:bCs w:val="0"/>
        </w:rPr>
        <w:t xml:space="preserve">If you </w:t>
      </w:r>
      <w:r w:rsidR="006D5773">
        <w:rPr>
          <w:b w:val="0"/>
          <w:bCs w:val="0"/>
        </w:rPr>
        <w:t xml:space="preserve">want that information to be counted towards PI22, </w:t>
      </w:r>
      <w:r>
        <w:rPr>
          <w:b w:val="0"/>
          <w:bCs w:val="0"/>
        </w:rPr>
        <w:t>it must be manually added to the</w:t>
      </w:r>
      <w:r w:rsidR="006D5773">
        <w:rPr>
          <w:b w:val="0"/>
          <w:bCs w:val="0"/>
        </w:rPr>
        <w:t xml:space="preserve"> client’s Best Practice </w:t>
      </w:r>
      <w:r>
        <w:rPr>
          <w:b w:val="0"/>
          <w:bCs w:val="0"/>
        </w:rPr>
        <w:t>cervical screening record.</w:t>
      </w:r>
    </w:p>
    <w:p w14:paraId="274ED6E7" w14:textId="77777777" w:rsidR="00080064" w:rsidRDefault="00080064" w:rsidP="00132BAC">
      <w:pPr>
        <w:pStyle w:val="SubheadingSH"/>
      </w:pPr>
    </w:p>
    <w:p w14:paraId="5D230ABC" w14:textId="455D4C8F" w:rsidR="005E56A5" w:rsidRDefault="003D5930" w:rsidP="00132BAC">
      <w:pPr>
        <w:pStyle w:val="SubheadingSH"/>
      </w:pPr>
      <w:r>
        <w:lastRenderedPageBreak/>
        <w:t xml:space="preserve">Ear </w:t>
      </w:r>
      <w:r w:rsidR="00132BAC">
        <w:t>c</w:t>
      </w:r>
      <w:r>
        <w:t>hecks – PI26</w:t>
      </w:r>
    </w:p>
    <w:p w14:paraId="0191F282" w14:textId="42DA0F9E" w:rsidR="0035436F" w:rsidRDefault="002D6FE2" w:rsidP="00481F85">
      <w:pPr>
        <w:pStyle w:val="BodytextSH"/>
      </w:pPr>
      <w:r>
        <w:t xml:space="preserve">Best Practice </w:t>
      </w:r>
      <w:r w:rsidR="0035436F">
        <w:t xml:space="preserve">currently </w:t>
      </w:r>
      <w:r w:rsidR="00807609">
        <w:t xml:space="preserve">has limited recording options to capture ear checks and related tests. There is no </w:t>
      </w:r>
      <w:r>
        <w:t xml:space="preserve">dedicated ear health module </w:t>
      </w:r>
      <w:r w:rsidR="0044422F">
        <w:t>to record ear checks</w:t>
      </w:r>
      <w:r w:rsidR="003C3C18">
        <w:t xml:space="preserve">. </w:t>
      </w:r>
      <w:r w:rsidR="00D37BA3">
        <w:t xml:space="preserve">Data </w:t>
      </w:r>
      <w:r w:rsidR="00132BAC">
        <w:t>record</w:t>
      </w:r>
      <w:r w:rsidR="00D37BA3">
        <w:t xml:space="preserve">ed in the </w:t>
      </w:r>
      <w:r w:rsidR="00637A9C">
        <w:t>Ear Nose Throat (</w:t>
      </w:r>
      <w:r w:rsidR="00D37BA3" w:rsidRPr="00132BAC">
        <w:rPr>
          <w:i/>
          <w:iCs/>
        </w:rPr>
        <w:t>ENT</w:t>
      </w:r>
      <w:r w:rsidR="00637A9C">
        <w:t>)</w:t>
      </w:r>
      <w:r w:rsidR="00D37BA3">
        <w:t xml:space="preserve"> </w:t>
      </w:r>
      <w:r w:rsidR="00637A9C">
        <w:t xml:space="preserve">section of the </w:t>
      </w:r>
      <w:r w:rsidR="0035436F">
        <w:t>‘</w:t>
      </w:r>
      <w:r w:rsidR="00637A9C" w:rsidRPr="0035436F">
        <w:t>History &amp; Examination</w:t>
      </w:r>
      <w:r w:rsidR="0035436F" w:rsidRPr="0035436F">
        <w:t>’</w:t>
      </w:r>
      <w:r w:rsidR="00637A9C">
        <w:t xml:space="preserve"> screen are not </w:t>
      </w:r>
      <w:r w:rsidR="009B113D">
        <w:t>counted</w:t>
      </w:r>
      <w:r w:rsidR="00672E5F">
        <w:t xml:space="preserve"> because the data are stored as free text. There are currently no </w:t>
      </w:r>
      <w:r>
        <w:t>specific procedure</w:t>
      </w:r>
      <w:r w:rsidR="0022331A">
        <w:t xml:space="preserve"> codes </w:t>
      </w:r>
      <w:r w:rsidR="0044422F">
        <w:t xml:space="preserve">to record </w:t>
      </w:r>
      <w:r>
        <w:t xml:space="preserve">‘otoscopy’ or ‘tympanometry’. </w:t>
      </w:r>
      <w:r w:rsidR="00CB2E8E">
        <w:t>This means ear checks need to be recorded</w:t>
      </w:r>
      <w:r w:rsidR="003A023E">
        <w:t xml:space="preserve"> another way for the ear check to be counted. </w:t>
      </w:r>
    </w:p>
    <w:p w14:paraId="0C52DB57" w14:textId="32C9C4DC" w:rsidR="00481F85" w:rsidRDefault="003A023E" w:rsidP="00481F85">
      <w:pPr>
        <w:pStyle w:val="BodytextSH"/>
      </w:pPr>
      <w:r>
        <w:t xml:space="preserve">There is a </w:t>
      </w:r>
      <w:r w:rsidR="004660C1">
        <w:t>general</w:t>
      </w:r>
      <w:r w:rsidR="002D6FE2">
        <w:t xml:space="preserve"> ‘Ear check’ procedure </w:t>
      </w:r>
      <w:r w:rsidR="00132BAC">
        <w:t xml:space="preserve">that </w:t>
      </w:r>
      <w:r w:rsidR="00DD7C55">
        <w:t>can be used to</w:t>
      </w:r>
      <w:r>
        <w:t xml:space="preserve"> record</w:t>
      </w:r>
      <w:r w:rsidR="00132BAC">
        <w:t>,</w:t>
      </w:r>
      <w:r>
        <w:t xml:space="preserve"> and therefore </w:t>
      </w:r>
      <w:r w:rsidR="00DD7C55">
        <w:t>will count</w:t>
      </w:r>
      <w:r w:rsidR="00132BAC">
        <w:t>,</w:t>
      </w:r>
      <w:r>
        <w:t xml:space="preserve"> </w:t>
      </w:r>
      <w:r w:rsidR="002D6FE2">
        <w:t xml:space="preserve">ear checks </w:t>
      </w:r>
      <w:r w:rsidR="00DD7C55">
        <w:t xml:space="preserve">when </w:t>
      </w:r>
      <w:r w:rsidR="000768DF">
        <w:t>there is no</w:t>
      </w:r>
      <w:r w:rsidR="00FC3C74">
        <w:t xml:space="preserve"> </w:t>
      </w:r>
      <w:r>
        <w:t xml:space="preserve">other </w:t>
      </w:r>
      <w:r w:rsidR="00DD7C55">
        <w:t xml:space="preserve">relevant </w:t>
      </w:r>
      <w:r w:rsidR="00FC3C74">
        <w:t xml:space="preserve">procedure or condition to </w:t>
      </w:r>
      <w:r w:rsidR="00132BAC">
        <w:t>record, which</w:t>
      </w:r>
      <w:r>
        <w:t xml:space="preserve"> is </w:t>
      </w:r>
      <w:r w:rsidR="00FC3C74">
        <w:t xml:space="preserve">often the case </w:t>
      </w:r>
      <w:r>
        <w:t xml:space="preserve">in </w:t>
      </w:r>
      <w:r w:rsidR="002D6FE2">
        <w:t xml:space="preserve">children with healthy ears. </w:t>
      </w:r>
    </w:p>
    <w:p w14:paraId="0CE0E8A0" w14:textId="5628CEC1" w:rsidR="00BD5ADC" w:rsidRDefault="00481F85" w:rsidP="00BD5ADC">
      <w:pPr>
        <w:pStyle w:val="BodytextSH"/>
      </w:pPr>
      <w:r w:rsidRPr="00132BAC">
        <w:rPr>
          <w:b/>
          <w:bCs/>
        </w:rPr>
        <w:t>TIP:</w:t>
      </w:r>
      <w:r>
        <w:t xml:space="preserve"> </w:t>
      </w:r>
      <w:r w:rsidR="002D6FE2">
        <w:t xml:space="preserve">For more </w:t>
      </w:r>
      <w:r w:rsidR="00795F49">
        <w:t>guidance</w:t>
      </w:r>
      <w:r w:rsidR="002D6FE2">
        <w:t xml:space="preserve"> on how to </w:t>
      </w:r>
      <w:r w:rsidR="00795F49">
        <w:t xml:space="preserve">record the ‘Ear check’ procedure </w:t>
      </w:r>
      <w:r w:rsidR="00D352F3">
        <w:t>for it to be counted</w:t>
      </w:r>
      <w:r w:rsidR="00795F49">
        <w:t>, refer to</w:t>
      </w:r>
      <w:r w:rsidR="002D6FE2">
        <w:t xml:space="preserve"> the </w:t>
      </w:r>
      <w:r w:rsidR="001D5048">
        <w:t xml:space="preserve">Best Practice article for </w:t>
      </w:r>
      <w:r w:rsidR="002D6FE2">
        <w:t>PI26</w:t>
      </w:r>
      <w:r w:rsidR="00132BAC">
        <w:t xml:space="preserve"> (detailed in the Resources </w:t>
      </w:r>
      <w:r w:rsidR="0035436F">
        <w:t>at the end of this article</w:t>
      </w:r>
      <w:r w:rsidR="00132BAC">
        <w:t>)</w:t>
      </w:r>
      <w:r w:rsidR="001D5048">
        <w:t>.</w:t>
      </w:r>
    </w:p>
    <w:p w14:paraId="45E8E2F1" w14:textId="5792404E" w:rsidR="00E21CEE" w:rsidRDefault="00C14795" w:rsidP="00FA515E">
      <w:pPr>
        <w:pStyle w:val="SubheadingSH"/>
      </w:pPr>
      <w:r>
        <w:t xml:space="preserve">Report </w:t>
      </w:r>
      <w:r w:rsidR="00132BAC">
        <w:t>e</w:t>
      </w:r>
      <w:r>
        <w:t xml:space="preserve">nd </w:t>
      </w:r>
      <w:r w:rsidR="00132BAC">
        <w:t>d</w:t>
      </w:r>
      <w:r>
        <w:t>ate</w:t>
      </w:r>
      <w:r w:rsidR="0035436F">
        <w:t xml:space="preserve"> enhancement</w:t>
      </w:r>
    </w:p>
    <w:p w14:paraId="12A97EF1" w14:textId="2E966043" w:rsidR="000434A3" w:rsidRDefault="0036357D" w:rsidP="00D656CC">
      <w:pPr>
        <w:pStyle w:val="BodytextSH"/>
      </w:pPr>
      <w:r w:rsidRPr="0036357D">
        <w:t xml:space="preserve">In previous reporting rounds, Best Practice counted </w:t>
      </w:r>
      <w:r w:rsidR="00132BAC">
        <w:t xml:space="preserve">service provision of the </w:t>
      </w:r>
      <w:r w:rsidRPr="0036357D">
        <w:t xml:space="preserve">MBS </w:t>
      </w:r>
      <w:r w:rsidR="00132BAC">
        <w:t>i</w:t>
      </w:r>
      <w:r w:rsidRPr="0036357D">
        <w:t xml:space="preserve">tem 715 </w:t>
      </w:r>
      <w:r w:rsidR="00132BAC">
        <w:t xml:space="preserve">health assessment </w:t>
      </w:r>
      <w:r w:rsidRPr="0036357D">
        <w:t xml:space="preserve">using a calculated start date based on either 12 or 24 </w:t>
      </w:r>
      <w:proofErr w:type="gramStart"/>
      <w:r w:rsidRPr="0036357D">
        <w:t>months</w:t>
      </w:r>
      <w:proofErr w:type="gramEnd"/>
      <w:r w:rsidRPr="0036357D">
        <w:t xml:space="preserve"> prior to the report end date (e.g. 31 December 2024). This approach aligned with the reporting specifications, which state that only service records with a service date within the reporting period should be included.</w:t>
      </w:r>
    </w:p>
    <w:p w14:paraId="13A8B91A" w14:textId="15462BC2" w:rsidR="00835D64" w:rsidRDefault="00C82C19" w:rsidP="00D656CC">
      <w:pPr>
        <w:pStyle w:val="BodytextSH"/>
      </w:pPr>
      <w:r w:rsidRPr="00C82C19">
        <w:t xml:space="preserve">However, a recent review found that although the start date was applied correctly, there was no upper limit set for the service date. </w:t>
      </w:r>
      <w:r w:rsidR="00E97B91">
        <w:t>By not restricting the count to only those services delivered up to the end of the reporting period, health assessments</w:t>
      </w:r>
      <w:r w:rsidRPr="00C82C19">
        <w:t xml:space="preserve"> </w:t>
      </w:r>
      <w:r w:rsidR="00E97B91">
        <w:t>completed up to the date of the nKPI report were</w:t>
      </w:r>
      <w:r w:rsidRPr="00C82C19">
        <w:t xml:space="preserve"> </w:t>
      </w:r>
      <w:r w:rsidR="00E97B91">
        <w:t xml:space="preserve">also </w:t>
      </w:r>
      <w:r w:rsidR="00E97B91" w:rsidRPr="00C82C19">
        <w:t>included in the count</w:t>
      </w:r>
      <w:r w:rsidR="00E97B91">
        <w:t>.</w:t>
      </w:r>
      <w:r w:rsidR="00E97B91" w:rsidRPr="00C82C19">
        <w:t xml:space="preserve"> </w:t>
      </w:r>
      <w:r w:rsidRPr="00C82C19">
        <w:t>Th</w:t>
      </w:r>
      <w:r w:rsidR="00E97B91">
        <w:t>is meant the</w:t>
      </w:r>
      <w:r w:rsidRPr="00C82C19">
        <w:t xml:space="preserve"> later </w:t>
      </w:r>
      <w:r w:rsidR="00E97B91" w:rsidRPr="00C82C19">
        <w:t xml:space="preserve">the report was run </w:t>
      </w:r>
      <w:r w:rsidRPr="00C82C19">
        <w:t>in the reporting round</w:t>
      </w:r>
      <w:r w:rsidR="00E97B91">
        <w:t xml:space="preserve"> the</w:t>
      </w:r>
      <w:r w:rsidRPr="00C82C19">
        <w:t xml:space="preserve"> </w:t>
      </w:r>
      <w:r w:rsidR="00E97B91">
        <w:t>greater the potential for discrepancy because there were more days from which to count completed health assessments</w:t>
      </w:r>
      <w:r w:rsidRPr="00C82C19">
        <w:t>.</w:t>
      </w:r>
    </w:p>
    <w:p w14:paraId="1096C29C" w14:textId="7FEF5C5C" w:rsidR="003C0D77" w:rsidRDefault="003C0D77" w:rsidP="00D656CC">
      <w:pPr>
        <w:pStyle w:val="BodytextSH"/>
      </w:pPr>
      <w:r w:rsidRPr="003C0D77">
        <w:t>The same issue was also identified in PI11 (</w:t>
      </w:r>
      <w:r w:rsidR="00E97B91">
        <w:t>s</w:t>
      </w:r>
      <w:r w:rsidRPr="003C0D77">
        <w:t>moking status of females who gave birth), PI12 (Body Mass Index of clients), and PI13 (</w:t>
      </w:r>
      <w:r w:rsidR="00E97B91">
        <w:t>f</w:t>
      </w:r>
      <w:r w:rsidRPr="003C0D77">
        <w:t>irst antenatal visit), where service records outside the reporting period may have been unintentionally included in the results.</w:t>
      </w:r>
    </w:p>
    <w:p w14:paraId="7B63D0B9" w14:textId="637F380C" w:rsidR="0057088A" w:rsidRDefault="00BD2176" w:rsidP="00D656CC">
      <w:pPr>
        <w:pStyle w:val="BodytextSH"/>
      </w:pPr>
      <w:r>
        <w:t>This is unlikely to have had any significant impact in data from health services running their Best Practice reporting tool early in the reporting window. If the Best Practice reporting tool was historically run later in the reporting window, t</w:t>
      </w:r>
      <w:r w:rsidR="0057088A" w:rsidRPr="0057088A">
        <w:t xml:space="preserve">his </w:t>
      </w:r>
      <w:r w:rsidR="00E97B91">
        <w:t>error</w:t>
      </w:r>
      <w:r w:rsidR="0057088A" w:rsidRPr="0057088A">
        <w:t xml:space="preserve"> may have caused an overcount and contributed to discrepancies in reported figures</w:t>
      </w:r>
      <w:r w:rsidR="00E41030">
        <w:t xml:space="preserve"> across these indicators</w:t>
      </w:r>
      <w:r w:rsidR="0057088A" w:rsidRPr="0057088A">
        <w:t>.</w:t>
      </w:r>
    </w:p>
    <w:p w14:paraId="5805ADFB" w14:textId="2FD4D04D" w:rsidR="00F55E01" w:rsidRDefault="00F55E01" w:rsidP="00D656CC">
      <w:pPr>
        <w:pStyle w:val="BodytextSH"/>
      </w:pPr>
      <w:r>
        <w:rPr>
          <w:b/>
          <w:bCs/>
        </w:rPr>
        <w:t>NOTE:</w:t>
      </w:r>
      <w:r>
        <w:t xml:space="preserve"> </w:t>
      </w:r>
      <w:r w:rsidR="007E1B6E">
        <w:t>This</w:t>
      </w:r>
      <w:r w:rsidR="00C8086F">
        <w:t xml:space="preserve"> </w:t>
      </w:r>
      <w:r w:rsidR="0058189C">
        <w:t>was</w:t>
      </w:r>
      <w:r w:rsidR="00C8086F">
        <w:t xml:space="preserve"> corrected for </w:t>
      </w:r>
      <w:r w:rsidR="00232B74">
        <w:t>the July</w:t>
      </w:r>
      <w:r w:rsidR="00DC380C">
        <w:t xml:space="preserve"> 2025</w:t>
      </w:r>
      <w:r w:rsidR="00232B74">
        <w:t xml:space="preserve"> </w:t>
      </w:r>
      <w:r w:rsidR="00FF6456">
        <w:t>r</w:t>
      </w:r>
      <w:r w:rsidR="00232B74">
        <w:t xml:space="preserve">eporting </w:t>
      </w:r>
      <w:r w:rsidR="00FF6456">
        <w:t>r</w:t>
      </w:r>
      <w:r w:rsidR="00232B74">
        <w:t xml:space="preserve">ound </w:t>
      </w:r>
      <w:r w:rsidR="00BD2176">
        <w:t>i.e.</w:t>
      </w:r>
      <w:r w:rsidR="00F27080">
        <w:t xml:space="preserve"> only </w:t>
      </w:r>
      <w:r w:rsidR="00BD2176">
        <w:t xml:space="preserve">those </w:t>
      </w:r>
      <w:r w:rsidR="00F27080">
        <w:t>services performed</w:t>
      </w:r>
      <w:r w:rsidR="00091A08">
        <w:t xml:space="preserve"> </w:t>
      </w:r>
      <w:r w:rsidR="004460B2" w:rsidRPr="004460B2">
        <w:t>on or after the calculated start date and before the reporting date are included.</w:t>
      </w:r>
      <w:r w:rsidR="00F82204">
        <w:t xml:space="preserve"> </w:t>
      </w:r>
      <w:r w:rsidR="00BD2176">
        <w:t>Some h</w:t>
      </w:r>
      <w:r w:rsidR="00F82204" w:rsidRPr="00F82204">
        <w:t xml:space="preserve">ealth services may see a change in data over time </w:t>
      </w:r>
      <w:r w:rsidR="00BD2176">
        <w:t>following</w:t>
      </w:r>
      <w:r w:rsidR="00F82204" w:rsidRPr="00F82204">
        <w:t xml:space="preserve"> this fix</w:t>
      </w:r>
      <w:r w:rsidR="00BD2176">
        <w:t>.</w:t>
      </w:r>
    </w:p>
    <w:p w14:paraId="2E222675" w14:textId="452FB327" w:rsidR="00FA515E" w:rsidRDefault="00FA515E" w:rsidP="00D656CC">
      <w:pPr>
        <w:pStyle w:val="BodytextSH"/>
      </w:pPr>
    </w:p>
    <w:p w14:paraId="0CA15586" w14:textId="5125606D" w:rsidR="00FA515E" w:rsidRPr="00F55E01" w:rsidRDefault="00FA515E" w:rsidP="00FF0764">
      <w:pPr>
        <w:pStyle w:val="BodytextSH"/>
      </w:pPr>
    </w:p>
    <w:p w14:paraId="0DCD495B" w14:textId="6DD30895" w:rsidR="002F6798" w:rsidRDefault="002F6798">
      <w:pPr>
        <w:pStyle w:val="Heading1SH"/>
      </w:pPr>
    </w:p>
    <w:p w14:paraId="6AFD9BAD" w14:textId="77777777" w:rsidR="002F6798" w:rsidRDefault="002F6798">
      <w:pPr>
        <w:pStyle w:val="Heading1SH"/>
      </w:pPr>
    </w:p>
    <w:p w14:paraId="0AF9E756" w14:textId="491B4A4A" w:rsidR="002F6798" w:rsidRDefault="002F6798">
      <w:pPr>
        <w:pStyle w:val="Heading1SH"/>
      </w:pPr>
    </w:p>
    <w:p w14:paraId="20716EAA" w14:textId="273C43B8" w:rsidR="002F6798" w:rsidRDefault="002F6798">
      <w:pPr>
        <w:pStyle w:val="Heading1SH"/>
      </w:pPr>
    </w:p>
    <w:p w14:paraId="7D19B8D6" w14:textId="51F8C1B3" w:rsidR="0095335E" w:rsidRDefault="00080064">
      <w:pPr>
        <w:pStyle w:val="Heading1SH"/>
      </w:pPr>
      <w:r>
        <w:rPr>
          <w:noProof/>
        </w:rPr>
        <w:lastRenderedPageBreak/>
        <mc:AlternateContent>
          <mc:Choice Requires="wps">
            <w:drawing>
              <wp:anchor distT="0" distB="0" distL="114300" distR="114300" simplePos="0" relativeHeight="251658752" behindDoc="0" locked="0" layoutInCell="1" allowOverlap="1" wp14:anchorId="7F742949" wp14:editId="3EA92631">
                <wp:simplePos x="0" y="0"/>
                <wp:positionH relativeFrom="margin">
                  <wp:posOffset>-85725</wp:posOffset>
                </wp:positionH>
                <wp:positionV relativeFrom="paragraph">
                  <wp:posOffset>-5715</wp:posOffset>
                </wp:positionV>
                <wp:extent cx="5399405" cy="2551043"/>
                <wp:effectExtent l="0" t="0" r="10795" b="14605"/>
                <wp:wrapNone/>
                <wp:docPr id="2043582495" name="Text Box 1"/>
                <wp:cNvGraphicFramePr/>
                <a:graphic xmlns:a="http://schemas.openxmlformats.org/drawingml/2006/main">
                  <a:graphicData uri="http://schemas.microsoft.com/office/word/2010/wordprocessingShape">
                    <wps:wsp>
                      <wps:cNvSpPr txBox="1"/>
                      <wps:spPr>
                        <a:xfrm>
                          <a:off x="0" y="0"/>
                          <a:ext cx="5399405" cy="2551043"/>
                        </a:xfrm>
                        <a:prstGeom prst="roundRect">
                          <a:avLst/>
                        </a:prstGeom>
                        <a:solidFill>
                          <a:srgbClr val="CCEDEB"/>
                        </a:solidFill>
                        <a:ln w="6350">
                          <a:solidFill>
                            <a:srgbClr val="1AA4A0"/>
                          </a:solidFill>
                        </a:ln>
                        <a:effectLst>
                          <a:softEdge rad="0"/>
                        </a:effectLst>
                      </wps:spPr>
                      <wps:txbx>
                        <w:txbxContent>
                          <w:p w14:paraId="3820AAE9" w14:textId="5F618456" w:rsidR="00BD5ADC" w:rsidRPr="00BD2176" w:rsidRDefault="00BD5ADC" w:rsidP="00BD5ADC">
                            <w:pPr>
                              <w:rPr>
                                <w:rFonts w:ascii="Arial" w:hAnsi="Arial" w:cs="Arial"/>
                              </w:rPr>
                            </w:pPr>
                            <w:r w:rsidRPr="00BD2176">
                              <w:rPr>
                                <w:rFonts w:ascii="Arial" w:hAnsi="Arial" w:cs="Arial"/>
                              </w:rPr>
                              <w:t>Key takeaways:</w:t>
                            </w:r>
                          </w:p>
                          <w:p w14:paraId="2668B9EF" w14:textId="40009A9C" w:rsidR="002F6798" w:rsidRDefault="002F6798" w:rsidP="002F6798">
                            <w:pPr>
                              <w:pStyle w:val="BulletSH"/>
                            </w:pPr>
                            <w:r>
                              <w:t>All telephone encounters are counted as eligible visits</w:t>
                            </w:r>
                            <w:r w:rsidR="00FF0764">
                              <w:t xml:space="preserve">. This </w:t>
                            </w:r>
                            <w:r>
                              <w:t xml:space="preserve">may inflate </w:t>
                            </w:r>
                            <w:r w:rsidR="001C2C36">
                              <w:t>R</w:t>
                            </w:r>
                            <w:r w:rsidR="001C2C36" w:rsidRPr="006B1D3C">
                              <w:t xml:space="preserve">egular </w:t>
                            </w:r>
                            <w:r w:rsidR="001C2C36">
                              <w:t>C</w:t>
                            </w:r>
                            <w:r w:rsidR="001C2C36" w:rsidRPr="006B1D3C">
                              <w:t>lient</w:t>
                            </w:r>
                            <w:r>
                              <w:t xml:space="preserve"> numbers if non-clinical staff record their </w:t>
                            </w:r>
                            <w:r w:rsidR="001153E8">
                              <w:t>client interactions</w:t>
                            </w:r>
                            <w:r>
                              <w:t xml:space="preserve"> this way.</w:t>
                            </w:r>
                          </w:p>
                          <w:p w14:paraId="7AF5146B" w14:textId="296DB929" w:rsidR="002F6798" w:rsidRDefault="002F6798" w:rsidP="002F6798">
                            <w:pPr>
                              <w:pStyle w:val="BulletSH"/>
                            </w:pPr>
                            <w:r>
                              <w:t xml:space="preserve">Pathology results must be </w:t>
                            </w:r>
                            <w:r w:rsidR="00FF0764">
                              <w:t xml:space="preserve">fully </w:t>
                            </w:r>
                            <w:r>
                              <w:t>actioned to be included in reports</w:t>
                            </w:r>
                            <w:r w:rsidR="00FF0764">
                              <w:t>;</w:t>
                            </w:r>
                            <w:r w:rsidR="002E4094">
                              <w:t xml:space="preserve"> </w:t>
                            </w:r>
                            <w:r w:rsidR="00FF0764">
                              <w:t xml:space="preserve">results in </w:t>
                            </w:r>
                            <w:r w:rsidR="002E4094">
                              <w:t>scanned documents are not counted</w:t>
                            </w:r>
                            <w:r w:rsidR="0058189C">
                              <w:t xml:space="preserve"> unless manually entered</w:t>
                            </w:r>
                            <w:r w:rsidR="002E4094">
                              <w:t>.</w:t>
                            </w:r>
                          </w:p>
                          <w:p w14:paraId="5CF2C758" w14:textId="58C89411" w:rsidR="002E4094" w:rsidRDefault="002E4094" w:rsidP="002F6798">
                            <w:pPr>
                              <w:pStyle w:val="BulletSH"/>
                            </w:pPr>
                            <w:r>
                              <w:t xml:space="preserve">Alcohol consumption is only </w:t>
                            </w:r>
                            <w:r w:rsidRPr="001C2C36">
                              <w:t>counted if recorded in</w:t>
                            </w:r>
                            <w:r>
                              <w:t xml:space="preserve"> the alcohol history tab</w:t>
                            </w:r>
                            <w:r w:rsidR="0095335E">
                              <w:t xml:space="preserve"> – AUDIT-C alone is not sufficient.</w:t>
                            </w:r>
                          </w:p>
                          <w:p w14:paraId="462DFA5F" w14:textId="68B373DA" w:rsidR="0095335E" w:rsidRDefault="00423D42" w:rsidP="00BD2176">
                            <w:pPr>
                              <w:pStyle w:val="BulletSH"/>
                            </w:pPr>
                            <w:r>
                              <w:t xml:space="preserve">Best Practice now allows users to </w:t>
                            </w:r>
                            <w:r w:rsidR="00FF0764">
                              <w:t xml:space="preserve">quickly </w:t>
                            </w:r>
                            <w:r>
                              <w:t>update the smoking status assessment date without changing the smoking status.</w:t>
                            </w:r>
                          </w:p>
                          <w:p w14:paraId="44BF8B92" w14:textId="278D7BB1" w:rsidR="00FF0764" w:rsidRDefault="00FF0764" w:rsidP="00BD2176">
                            <w:pPr>
                              <w:pStyle w:val="BulletSH"/>
                            </w:pPr>
                            <w:r>
                              <w:t>Know how to use procedural codes to record ear checks so they are counted.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42949" id="Text Box 1" o:spid="_x0000_s1026" style="position:absolute;margin-left:-6.75pt;margin-top:-.45pt;width:425.15pt;height:200.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" fillcolor="#ccedeb" strokecolor="#1aa4a0" strokeweight=".5pt">
                <v:textbox>
                  <w:txbxContent>
                    <w:p w14:paraId="3820AAE9" w14:textId="5F618456" w:rsidR="00BD5ADC" w:rsidRPr="00BD2176" w:rsidRDefault="00BD5ADC" w:rsidP="00BD5ADC">
                      <w:pPr>
                        <w:rPr>
                          <w:rFonts w:ascii="Arial" w:hAnsi="Arial" w:cs="Arial"/>
                        </w:rPr>
                      </w:pPr>
                      <w:r w:rsidRPr="00BD2176">
                        <w:rPr>
                          <w:rFonts w:ascii="Arial" w:hAnsi="Arial" w:cs="Arial"/>
                        </w:rPr>
                        <w:t>Key takeaways:</w:t>
                      </w:r>
                    </w:p>
                    <w:p w14:paraId="2668B9EF" w14:textId="40009A9C" w:rsidR="002F6798" w:rsidRDefault="002F6798" w:rsidP="002F6798">
                      <w:pPr>
                        <w:pStyle w:val="BulletSH"/>
                      </w:pPr>
                      <w:r>
                        <w:t>All telephone encounters are counted as eligible visits</w:t>
                      </w:r>
                      <w:r w:rsidR="00FF0764">
                        <w:t xml:space="preserve">. This </w:t>
                      </w:r>
                      <w:r>
                        <w:t xml:space="preserve">may inflate </w:t>
                      </w:r>
                      <w:r w:rsidR="001C2C36">
                        <w:t>R</w:t>
                      </w:r>
                      <w:r w:rsidR="001C2C36" w:rsidRPr="006B1D3C">
                        <w:t xml:space="preserve">egular </w:t>
                      </w:r>
                      <w:r w:rsidR="001C2C36">
                        <w:t>C</w:t>
                      </w:r>
                      <w:r w:rsidR="001C2C36" w:rsidRPr="006B1D3C">
                        <w:t>lient</w:t>
                      </w:r>
                      <w:r>
                        <w:t xml:space="preserve"> numbers if non-clinical staff record their </w:t>
                      </w:r>
                      <w:r w:rsidR="001153E8">
                        <w:t>client interactions</w:t>
                      </w:r>
                      <w:r>
                        <w:t xml:space="preserve"> this way.</w:t>
                      </w:r>
                    </w:p>
                    <w:p w14:paraId="7AF5146B" w14:textId="296DB929" w:rsidR="002F6798" w:rsidRDefault="002F6798" w:rsidP="002F6798">
                      <w:pPr>
                        <w:pStyle w:val="BulletSH"/>
                      </w:pPr>
                      <w:r>
                        <w:t xml:space="preserve">Pathology results must be </w:t>
                      </w:r>
                      <w:r w:rsidR="00FF0764">
                        <w:t xml:space="preserve">fully </w:t>
                      </w:r>
                      <w:r>
                        <w:t>actioned to be included in reports</w:t>
                      </w:r>
                      <w:r w:rsidR="00FF0764">
                        <w:t>;</w:t>
                      </w:r>
                      <w:r w:rsidR="002E4094">
                        <w:t xml:space="preserve"> </w:t>
                      </w:r>
                      <w:r w:rsidR="00FF0764">
                        <w:t xml:space="preserve">results in </w:t>
                      </w:r>
                      <w:r w:rsidR="002E4094">
                        <w:t>scanned documents are not counted</w:t>
                      </w:r>
                      <w:r w:rsidR="0058189C">
                        <w:t xml:space="preserve"> unless manually entered</w:t>
                      </w:r>
                      <w:r w:rsidR="002E4094">
                        <w:t>.</w:t>
                      </w:r>
                    </w:p>
                    <w:p w14:paraId="5CF2C758" w14:textId="58C89411" w:rsidR="002E4094" w:rsidRDefault="002E4094" w:rsidP="002F6798">
                      <w:pPr>
                        <w:pStyle w:val="BulletSH"/>
                      </w:pPr>
                      <w:r>
                        <w:t xml:space="preserve">Alcohol consumption is only </w:t>
                      </w:r>
                      <w:r w:rsidRPr="001C2C36">
                        <w:t>counted if recorded in</w:t>
                      </w:r>
                      <w:r>
                        <w:t xml:space="preserve"> the alcohol history tab</w:t>
                      </w:r>
                      <w:r w:rsidR="0095335E">
                        <w:t xml:space="preserve"> – AUDIT-C alone is not sufficient.</w:t>
                      </w:r>
                    </w:p>
                    <w:p w14:paraId="462DFA5F" w14:textId="68B373DA" w:rsidR="0095335E" w:rsidRDefault="00423D42" w:rsidP="00BD2176">
                      <w:pPr>
                        <w:pStyle w:val="BulletSH"/>
                      </w:pPr>
                      <w:r>
                        <w:t xml:space="preserve">Best Practice now allows users to </w:t>
                      </w:r>
                      <w:r w:rsidR="00FF0764">
                        <w:t xml:space="preserve">quickly </w:t>
                      </w:r>
                      <w:r>
                        <w:t>update the smoking status assessment date without changing the smoking status.</w:t>
                      </w:r>
                    </w:p>
                    <w:p w14:paraId="44BF8B92" w14:textId="278D7BB1" w:rsidR="00FF0764" w:rsidRDefault="00FF0764" w:rsidP="00BD2176">
                      <w:pPr>
                        <w:pStyle w:val="BulletSH"/>
                      </w:pPr>
                      <w:r>
                        <w:t>Know how to use procedural codes to record ear checks so they are counted.</w:t>
                      </w:r>
                    </w:p>
                  </w:txbxContent>
                </v:textbox>
                <w10:wrap anchorx="margin"/>
              </v:roundrect>
            </w:pict>
          </mc:Fallback>
        </mc:AlternateContent>
      </w:r>
    </w:p>
    <w:p w14:paraId="3F586348" w14:textId="77777777" w:rsidR="00080064" w:rsidRDefault="00080064" w:rsidP="003729C7">
      <w:pPr>
        <w:pStyle w:val="Heading1SH"/>
      </w:pPr>
    </w:p>
    <w:p w14:paraId="4F91D925" w14:textId="77777777" w:rsidR="00080064" w:rsidRDefault="00080064" w:rsidP="003729C7">
      <w:pPr>
        <w:pStyle w:val="Heading1SH"/>
      </w:pPr>
    </w:p>
    <w:p w14:paraId="399C4C68" w14:textId="77777777" w:rsidR="00080064" w:rsidRDefault="00080064" w:rsidP="003729C7">
      <w:pPr>
        <w:pStyle w:val="Heading1SH"/>
      </w:pPr>
    </w:p>
    <w:p w14:paraId="7FAA113C" w14:textId="77777777" w:rsidR="00080064" w:rsidRDefault="00080064" w:rsidP="003729C7">
      <w:pPr>
        <w:pStyle w:val="Heading1SH"/>
      </w:pPr>
    </w:p>
    <w:p w14:paraId="2DA7A9C8" w14:textId="77777777" w:rsidR="00080064" w:rsidRDefault="00080064" w:rsidP="003729C7">
      <w:pPr>
        <w:pStyle w:val="Heading1SH"/>
      </w:pPr>
    </w:p>
    <w:p w14:paraId="5D1A44C2" w14:textId="77777777" w:rsidR="00080064" w:rsidRDefault="00080064" w:rsidP="003729C7">
      <w:pPr>
        <w:pStyle w:val="Heading1SH"/>
      </w:pPr>
    </w:p>
    <w:p w14:paraId="05E7139A" w14:textId="4F2BC465" w:rsidR="003729C7" w:rsidRDefault="003729C7" w:rsidP="003729C7">
      <w:pPr>
        <w:pStyle w:val="Heading1SH"/>
      </w:pPr>
      <w:r>
        <w:t>Resources</w:t>
      </w:r>
    </w:p>
    <w:p w14:paraId="1E3C5B04" w14:textId="577039A2" w:rsidR="00287DB9" w:rsidRPr="00C15DAE" w:rsidRDefault="00287DB9" w:rsidP="00287DB9">
      <w:pPr>
        <w:pStyle w:val="BodytextSH"/>
        <w:rPr>
          <w:rStyle w:val="normaltextrun"/>
        </w:rPr>
      </w:pPr>
      <w:r>
        <w:rPr>
          <w:rStyle w:val="normaltextrun"/>
          <w:rFonts w:cs="Arial"/>
          <w:color w:val="000000"/>
          <w:szCs w:val="22"/>
          <w:shd w:val="clear" w:color="auto" w:fill="FFFFFF"/>
        </w:rPr>
        <w:t>Links to supporting documents, information and further reading: </w:t>
      </w:r>
      <w:r>
        <w:rPr>
          <w:rStyle w:val="eop"/>
          <w:rFonts w:cs="Arial"/>
          <w:color w:val="000000"/>
          <w:szCs w:val="22"/>
          <w:shd w:val="clear" w:color="auto" w:fill="FFFFFF"/>
        </w:rPr>
        <w:t> </w:t>
      </w:r>
    </w:p>
    <w:p w14:paraId="306096DC" w14:textId="2A6DC50E" w:rsidR="003729C7" w:rsidRDefault="002C0137" w:rsidP="003729C7">
      <w:pPr>
        <w:pStyle w:val="BulletSH"/>
      </w:pPr>
      <w:r>
        <w:rPr>
          <w:rStyle w:val="Strong"/>
        </w:rPr>
        <w:t>Specifications for nKPI and OSR:</w:t>
      </w:r>
      <w:r>
        <w:t xml:space="preserve"> This document is for service providers and clinical information system vendors. It gives a detailed overview of foundation data concepts, related data, and a full explanation of each measure—covering inclusions, exclusions, counting rules, measure code disaggregation points, and the nKPI Condition and Pathology Coding Frameworks. It also highlights variances in vendor implementation for selected measures. You can access the Specifications here: </w:t>
      </w:r>
      <w:hyperlink r:id="rId14" w:tgtFrame="_new" w:history="1">
        <w:r>
          <w:rPr>
            <w:rStyle w:val="Hyperlink"/>
          </w:rPr>
          <w:t>https://www.solvinghealth.au/specifications</w:t>
        </w:r>
      </w:hyperlink>
      <w:r w:rsidR="003729C7">
        <w:t xml:space="preserve"> </w:t>
      </w:r>
    </w:p>
    <w:p w14:paraId="1DA5E07C" w14:textId="087E3C2B" w:rsidR="00287DB9" w:rsidRDefault="00287DB9" w:rsidP="003729C7">
      <w:pPr>
        <w:pStyle w:val="BulletSH"/>
      </w:pPr>
      <w:r w:rsidRPr="18E208D5">
        <w:rPr>
          <w:rStyle w:val="normaltextrun"/>
          <w:b/>
          <w:color w:val="000000"/>
          <w:shd w:val="clear" w:color="auto" w:fill="FFFFFF"/>
        </w:rPr>
        <w:t>CIS User Guides:</w:t>
      </w:r>
      <w:r w:rsidRPr="18E208D5">
        <w:rPr>
          <w:rStyle w:val="normaltextrun"/>
          <w:color w:val="000000"/>
          <w:shd w:val="clear" w:color="auto" w:fill="FFFFFF"/>
        </w:rPr>
        <w:t xml:space="preserve"> These explain how vendor</w:t>
      </w:r>
      <w:r w:rsidR="00B85436" w:rsidRPr="18E208D5">
        <w:rPr>
          <w:rStyle w:val="normaltextrun"/>
          <w:color w:val="000000"/>
          <w:shd w:val="clear" w:color="auto" w:fill="FFFFFF"/>
        </w:rPr>
        <w:t>s</w:t>
      </w:r>
      <w:r w:rsidRPr="18E208D5">
        <w:rPr>
          <w:rStyle w:val="normaltextrun"/>
          <w:color w:val="000000"/>
          <w:shd w:val="clear" w:color="auto" w:fill="FFFFFF"/>
        </w:rPr>
        <w:t xml:space="preserve"> report</w:t>
      </w:r>
      <w:r w:rsidR="00B85436" w:rsidRPr="18E208D5">
        <w:rPr>
          <w:rStyle w:val="normaltextrun"/>
          <w:color w:val="000000"/>
          <w:shd w:val="clear" w:color="auto" w:fill="FFFFFF"/>
        </w:rPr>
        <w:t xml:space="preserve"> indicators </w:t>
      </w:r>
      <w:r w:rsidRPr="18E208D5">
        <w:rPr>
          <w:rStyle w:val="normaltextrun"/>
          <w:color w:val="000000"/>
          <w:shd w:val="clear" w:color="auto" w:fill="FFFFFF"/>
        </w:rPr>
        <w:t xml:space="preserve">and where data need to be </w:t>
      </w:r>
      <w:r w:rsidR="00F5039F" w:rsidRPr="18E208D5">
        <w:rPr>
          <w:rStyle w:val="normaltextrun"/>
          <w:color w:val="000000"/>
          <w:shd w:val="clear" w:color="auto" w:fill="FFFFFF"/>
        </w:rPr>
        <w:t>recorded in the CIS to optimise reporting</w:t>
      </w:r>
      <w:r w:rsidRPr="18E208D5">
        <w:rPr>
          <w:rStyle w:val="normaltextrun"/>
          <w:color w:val="000000"/>
          <w:shd w:val="clear" w:color="auto" w:fill="FFFFFF"/>
        </w:rPr>
        <w:t>. Refer to the article CIS User Guides for links or visit the link in the Specifications (dot point above) which has links to vendor documents at the end of the web page.</w:t>
      </w:r>
      <w:r w:rsidRPr="18E208D5">
        <w:rPr>
          <w:rStyle w:val="eop"/>
          <w:color w:val="000000"/>
          <w:shd w:val="clear" w:color="auto" w:fill="FFFFFF"/>
        </w:rPr>
        <w:t> </w:t>
      </w:r>
    </w:p>
    <w:p w14:paraId="48EB3206" w14:textId="77777777" w:rsidR="00287DB9" w:rsidRPr="00287DB9" w:rsidRDefault="00287DB9" w:rsidP="00287DB9">
      <w:pPr>
        <w:pStyle w:val="BulletSH"/>
        <w:rPr>
          <w:rStyle w:val="eop"/>
        </w:rPr>
      </w:pPr>
      <w:r>
        <w:rPr>
          <w:rStyle w:val="normaltextrun"/>
          <w:b/>
          <w:bCs w:val="0"/>
          <w:color w:val="000000"/>
          <w:szCs w:val="22"/>
          <w:shd w:val="clear" w:color="auto" w:fill="FFFFFF"/>
        </w:rPr>
        <w:t>Vendor scorecard:</w:t>
      </w:r>
      <w:r>
        <w:rPr>
          <w:rStyle w:val="normaltextrun"/>
          <w:color w:val="000000"/>
          <w:szCs w:val="22"/>
          <w:shd w:val="clear" w:color="auto" w:fill="FFFFFF"/>
        </w:rPr>
        <w:t xml:space="preserve"> The vendor scorecard is a one page visual that compares results for nKPI and OSR across CIS: </w:t>
      </w:r>
      <w:hyperlink r:id="rId15" w:tgtFrame="_blank" w:history="1">
        <w:r>
          <w:rPr>
            <w:rStyle w:val="normaltextrun"/>
            <w:color w:val="000000"/>
            <w:szCs w:val="22"/>
            <w:u w:val="single"/>
            <w:shd w:val="clear" w:color="auto" w:fill="E1E3E6"/>
          </w:rPr>
          <w:t>https://www.solvinghealth.au/scorecard</w:t>
        </w:r>
      </w:hyperlink>
      <w:r>
        <w:rPr>
          <w:rStyle w:val="normaltextrun"/>
          <w:color w:val="000000"/>
          <w:szCs w:val="22"/>
          <w:shd w:val="clear" w:color="auto" w:fill="FFFFFF"/>
        </w:rPr>
        <w:t> </w:t>
      </w:r>
      <w:r>
        <w:rPr>
          <w:rStyle w:val="eop"/>
          <w:color w:val="000000"/>
          <w:szCs w:val="22"/>
          <w:shd w:val="clear" w:color="auto" w:fill="FFFFFF"/>
        </w:rPr>
        <w:t> </w:t>
      </w:r>
    </w:p>
    <w:p w14:paraId="56F3A59F" w14:textId="2A7BC908" w:rsidR="00AF3257" w:rsidRPr="00AF3257" w:rsidRDefault="00287DB9" w:rsidP="00AF3257">
      <w:pPr>
        <w:pStyle w:val="BodytextSH"/>
        <w:rPr>
          <w:rFonts w:cs="Arial"/>
          <w:color w:val="000000"/>
          <w:szCs w:val="22"/>
          <w:shd w:val="clear" w:color="auto" w:fill="FFFFFF"/>
        </w:rPr>
      </w:pPr>
      <w:r>
        <w:rPr>
          <w:rStyle w:val="normaltextrun"/>
          <w:rFonts w:cs="Arial"/>
          <w:color w:val="000000"/>
          <w:szCs w:val="22"/>
          <w:shd w:val="clear" w:color="auto" w:fill="FFFFFF"/>
        </w:rPr>
        <w:t>For more data management tips see the other articles in this series available at:</w:t>
      </w:r>
      <w:r w:rsidR="00AF3257" w:rsidRPr="00AF3257">
        <w:rPr>
          <w:szCs w:val="22"/>
        </w:rPr>
        <w:t xml:space="preserve"> </w:t>
      </w:r>
      <w:hyperlink r:id="rId16" w:anchor="ClinicalInformationSystem(CIS)EducationArticles" w:history="1">
        <w:r w:rsidR="00AF3257" w:rsidRPr="00AF3257">
          <w:rPr>
            <w:rStyle w:val="Hyperlink"/>
            <w:rFonts w:cs="Arial"/>
            <w:szCs w:val="22"/>
            <w:shd w:val="clear" w:color="auto" w:fill="FFFFFF"/>
          </w:rPr>
          <w:t>Clinical Information System (CIS) Education Articles</w:t>
        </w:r>
      </w:hyperlink>
    </w:p>
    <w:p w14:paraId="5FBE66CE" w14:textId="5C25A019" w:rsidR="00287DB9" w:rsidRDefault="00287DB9" w:rsidP="00287DB9">
      <w:pPr>
        <w:pStyle w:val="BodytextSH"/>
      </w:pPr>
    </w:p>
    <w:p w14:paraId="3B972632" w14:textId="77777777" w:rsidR="002B5DB3" w:rsidRDefault="002B5DB3" w:rsidP="002B5DB3"/>
    <w:p w14:paraId="1B0CA339" w14:textId="19275AB6" w:rsidR="00AF0FD7" w:rsidRDefault="00AF0FD7" w:rsidP="002B5DB3"/>
    <w:sectPr w:rsidR="00AF0FD7" w:rsidSect="002B5DB3">
      <w:footerReference w:type="default" r:id="rId17"/>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114D" w14:textId="77777777" w:rsidR="00823A16" w:rsidRDefault="00823A16" w:rsidP="00AD66D6">
      <w:r>
        <w:separator/>
      </w:r>
    </w:p>
  </w:endnote>
  <w:endnote w:type="continuationSeparator" w:id="0">
    <w:p w14:paraId="5831A894" w14:textId="77777777" w:rsidR="00823A16" w:rsidRDefault="00823A16" w:rsidP="00AD66D6">
      <w:r>
        <w:continuationSeparator/>
      </w:r>
    </w:p>
  </w:endnote>
  <w:endnote w:type="continuationNotice" w:id="1">
    <w:p w14:paraId="6990831E" w14:textId="77777777" w:rsidR="00823A16" w:rsidRDefault="00823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dy CS)">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2563D946" w:rsidR="00AD66D6" w:rsidRPr="000246D9" w:rsidRDefault="00AD66D6" w:rsidP="00AD66D6">
    <w:pPr>
      <w:pStyle w:val="FooterSH"/>
      <w:tabs>
        <w:tab w:val="right" w:pos="8931"/>
      </w:tabs>
      <w:ind w:right="-6"/>
      <w:rPr>
        <w:color w:val="505050"/>
      </w:rPr>
    </w:pPr>
    <w:r w:rsidRPr="000246D9">
      <w:rPr>
        <w:color w:val="505050"/>
      </w:rPr>
      <w:tab/>
    </w:r>
    <w:r w:rsidRPr="000246D9">
      <w:rPr>
        <w:color w:val="505050"/>
      </w:rPr>
      <w:fldChar w:fldCharType="begin"/>
    </w:r>
    <w:r w:rsidRPr="000246D9">
      <w:rPr>
        <w:color w:val="505050"/>
      </w:rPr>
      <w:instrText xml:space="preserve"> PAGE </w:instrText>
    </w:r>
    <w:r w:rsidRPr="000246D9">
      <w:rPr>
        <w:color w:val="505050"/>
      </w:rPr>
      <w:fldChar w:fldCharType="separate"/>
    </w:r>
    <w:r w:rsidRPr="000246D9">
      <w:rPr>
        <w:color w:val="505050"/>
      </w:rPr>
      <w:t>1</w:t>
    </w:r>
    <w:r w:rsidRPr="000246D9">
      <w:rPr>
        <w:color w:val="505050"/>
      </w:rPr>
      <w:fldChar w:fldCharType="end"/>
    </w:r>
  </w:p>
  <w:p w14:paraId="1A6F4DC5"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DDC1" w14:textId="77777777" w:rsidR="00823A16" w:rsidRDefault="00823A16" w:rsidP="00AD66D6">
      <w:r>
        <w:separator/>
      </w:r>
    </w:p>
  </w:footnote>
  <w:footnote w:type="continuationSeparator" w:id="0">
    <w:p w14:paraId="54DD5A40" w14:textId="77777777" w:rsidR="00823A16" w:rsidRDefault="00823A16" w:rsidP="00AD66D6">
      <w:r>
        <w:continuationSeparator/>
      </w:r>
    </w:p>
  </w:footnote>
  <w:footnote w:type="continuationNotice" w:id="1">
    <w:p w14:paraId="7DAD7352" w14:textId="77777777" w:rsidR="00823A16" w:rsidRDefault="00823A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10"/>
    <w:multiLevelType w:val="hybridMultilevel"/>
    <w:tmpl w:val="A272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67E89"/>
    <w:multiLevelType w:val="multilevel"/>
    <w:tmpl w:val="395CD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6561A"/>
    <w:multiLevelType w:val="hybridMultilevel"/>
    <w:tmpl w:val="62A246A4"/>
    <w:lvl w:ilvl="0" w:tplc="75E8AA60">
      <w:start w:val="1"/>
      <w:numFmt w:val="decimal"/>
      <w:pStyle w:val="Numberedlist-S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851E88"/>
    <w:multiLevelType w:val="hybridMultilevel"/>
    <w:tmpl w:val="149636F6"/>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7BFB19D5"/>
    <w:multiLevelType w:val="hybridMultilevel"/>
    <w:tmpl w:val="667E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6169726">
    <w:abstractNumId w:val="5"/>
  </w:num>
  <w:num w:numId="2" w16cid:durableId="198860622">
    <w:abstractNumId w:val="2"/>
  </w:num>
  <w:num w:numId="3" w16cid:durableId="409347149">
    <w:abstractNumId w:val="6"/>
  </w:num>
  <w:num w:numId="4" w16cid:durableId="995886109">
    <w:abstractNumId w:val="1"/>
  </w:num>
  <w:num w:numId="5" w16cid:durableId="1125780107">
    <w:abstractNumId w:val="4"/>
  </w:num>
  <w:num w:numId="6" w16cid:durableId="1115296088">
    <w:abstractNumId w:val="1"/>
  </w:num>
  <w:num w:numId="7" w16cid:durableId="845481309">
    <w:abstractNumId w:val="7"/>
  </w:num>
  <w:num w:numId="8" w16cid:durableId="718632434">
    <w:abstractNumId w:val="0"/>
  </w:num>
  <w:num w:numId="9" w16cid:durableId="33896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0037"/>
    <w:rsid w:val="000013A2"/>
    <w:rsid w:val="00001D07"/>
    <w:rsid w:val="00002320"/>
    <w:rsid w:val="000043B3"/>
    <w:rsid w:val="00005579"/>
    <w:rsid w:val="00010267"/>
    <w:rsid w:val="00011D88"/>
    <w:rsid w:val="00013317"/>
    <w:rsid w:val="00013359"/>
    <w:rsid w:val="00014489"/>
    <w:rsid w:val="00014BD8"/>
    <w:rsid w:val="0001584B"/>
    <w:rsid w:val="00015E0C"/>
    <w:rsid w:val="00016F24"/>
    <w:rsid w:val="000205B7"/>
    <w:rsid w:val="0002116F"/>
    <w:rsid w:val="000211F8"/>
    <w:rsid w:val="0002254A"/>
    <w:rsid w:val="0002290E"/>
    <w:rsid w:val="000246D9"/>
    <w:rsid w:val="00024E8B"/>
    <w:rsid w:val="00026A92"/>
    <w:rsid w:val="000272C0"/>
    <w:rsid w:val="00032755"/>
    <w:rsid w:val="00035F12"/>
    <w:rsid w:val="00037722"/>
    <w:rsid w:val="00037BCB"/>
    <w:rsid w:val="00040CA6"/>
    <w:rsid w:val="00042542"/>
    <w:rsid w:val="000434A3"/>
    <w:rsid w:val="0004459A"/>
    <w:rsid w:val="000445CD"/>
    <w:rsid w:val="000468E7"/>
    <w:rsid w:val="00046D40"/>
    <w:rsid w:val="00047FAB"/>
    <w:rsid w:val="000512B6"/>
    <w:rsid w:val="00051AED"/>
    <w:rsid w:val="00052417"/>
    <w:rsid w:val="00054E11"/>
    <w:rsid w:val="000579EE"/>
    <w:rsid w:val="0006297B"/>
    <w:rsid w:val="00063CBC"/>
    <w:rsid w:val="00063FF7"/>
    <w:rsid w:val="000646AD"/>
    <w:rsid w:val="000663E7"/>
    <w:rsid w:val="0006647D"/>
    <w:rsid w:val="00067A6D"/>
    <w:rsid w:val="000700EF"/>
    <w:rsid w:val="00071049"/>
    <w:rsid w:val="0007147F"/>
    <w:rsid w:val="000717F0"/>
    <w:rsid w:val="00072260"/>
    <w:rsid w:val="00073668"/>
    <w:rsid w:val="00073E75"/>
    <w:rsid w:val="0007443E"/>
    <w:rsid w:val="00075F8B"/>
    <w:rsid w:val="000768DF"/>
    <w:rsid w:val="000778D4"/>
    <w:rsid w:val="00077BA0"/>
    <w:rsid w:val="00080064"/>
    <w:rsid w:val="00082D12"/>
    <w:rsid w:val="00084DDF"/>
    <w:rsid w:val="0008520D"/>
    <w:rsid w:val="00086245"/>
    <w:rsid w:val="000876E7"/>
    <w:rsid w:val="00090616"/>
    <w:rsid w:val="00091A08"/>
    <w:rsid w:val="00093332"/>
    <w:rsid w:val="0009344D"/>
    <w:rsid w:val="00093F64"/>
    <w:rsid w:val="000A1162"/>
    <w:rsid w:val="000A1469"/>
    <w:rsid w:val="000A2D9A"/>
    <w:rsid w:val="000A2EBF"/>
    <w:rsid w:val="000A42EB"/>
    <w:rsid w:val="000A44C8"/>
    <w:rsid w:val="000B18B2"/>
    <w:rsid w:val="000B36AA"/>
    <w:rsid w:val="000B44A0"/>
    <w:rsid w:val="000B5E21"/>
    <w:rsid w:val="000B777E"/>
    <w:rsid w:val="000C11CE"/>
    <w:rsid w:val="000C1B40"/>
    <w:rsid w:val="000C235F"/>
    <w:rsid w:val="000C2B50"/>
    <w:rsid w:val="000C3CD4"/>
    <w:rsid w:val="000C3E5B"/>
    <w:rsid w:val="000C4BAC"/>
    <w:rsid w:val="000C5EBB"/>
    <w:rsid w:val="000C6AE5"/>
    <w:rsid w:val="000C6F75"/>
    <w:rsid w:val="000D2085"/>
    <w:rsid w:val="000D417F"/>
    <w:rsid w:val="000D58FD"/>
    <w:rsid w:val="000D69FA"/>
    <w:rsid w:val="000D71B5"/>
    <w:rsid w:val="000E0250"/>
    <w:rsid w:val="000E04BA"/>
    <w:rsid w:val="000E1F4A"/>
    <w:rsid w:val="000E2894"/>
    <w:rsid w:val="000E295A"/>
    <w:rsid w:val="000E36C1"/>
    <w:rsid w:val="000E37ED"/>
    <w:rsid w:val="000E3AD9"/>
    <w:rsid w:val="000E50F1"/>
    <w:rsid w:val="000E54D8"/>
    <w:rsid w:val="000E78A2"/>
    <w:rsid w:val="000F32D0"/>
    <w:rsid w:val="000F4D62"/>
    <w:rsid w:val="000F5335"/>
    <w:rsid w:val="000F79B3"/>
    <w:rsid w:val="00102762"/>
    <w:rsid w:val="0010419E"/>
    <w:rsid w:val="0010433D"/>
    <w:rsid w:val="00106568"/>
    <w:rsid w:val="00112356"/>
    <w:rsid w:val="0011462D"/>
    <w:rsid w:val="001146AF"/>
    <w:rsid w:val="001153E8"/>
    <w:rsid w:val="001201F3"/>
    <w:rsid w:val="001204B2"/>
    <w:rsid w:val="0012120C"/>
    <w:rsid w:val="001220A6"/>
    <w:rsid w:val="00122AE6"/>
    <w:rsid w:val="00123338"/>
    <w:rsid w:val="00123BA0"/>
    <w:rsid w:val="0012554F"/>
    <w:rsid w:val="00125DD9"/>
    <w:rsid w:val="001262DA"/>
    <w:rsid w:val="00126900"/>
    <w:rsid w:val="00127FD4"/>
    <w:rsid w:val="0013063B"/>
    <w:rsid w:val="00131015"/>
    <w:rsid w:val="00132061"/>
    <w:rsid w:val="00132BAC"/>
    <w:rsid w:val="0013352B"/>
    <w:rsid w:val="00133CD2"/>
    <w:rsid w:val="00134871"/>
    <w:rsid w:val="001356D9"/>
    <w:rsid w:val="001375BD"/>
    <w:rsid w:val="00137C21"/>
    <w:rsid w:val="0014292C"/>
    <w:rsid w:val="00143A9C"/>
    <w:rsid w:val="00143F83"/>
    <w:rsid w:val="0014503C"/>
    <w:rsid w:val="001472B9"/>
    <w:rsid w:val="00147ABD"/>
    <w:rsid w:val="00147D2C"/>
    <w:rsid w:val="001520BF"/>
    <w:rsid w:val="00152475"/>
    <w:rsid w:val="00153748"/>
    <w:rsid w:val="00154A4E"/>
    <w:rsid w:val="00154DF0"/>
    <w:rsid w:val="001613E4"/>
    <w:rsid w:val="001633B5"/>
    <w:rsid w:val="001706E1"/>
    <w:rsid w:val="00171125"/>
    <w:rsid w:val="001721B3"/>
    <w:rsid w:val="00172831"/>
    <w:rsid w:val="001732A3"/>
    <w:rsid w:val="0017334E"/>
    <w:rsid w:val="00173E07"/>
    <w:rsid w:val="00176EE8"/>
    <w:rsid w:val="001777FD"/>
    <w:rsid w:val="00177A4D"/>
    <w:rsid w:val="001813AC"/>
    <w:rsid w:val="00181459"/>
    <w:rsid w:val="001816C7"/>
    <w:rsid w:val="00182531"/>
    <w:rsid w:val="00182EAD"/>
    <w:rsid w:val="00184010"/>
    <w:rsid w:val="00184092"/>
    <w:rsid w:val="001845BE"/>
    <w:rsid w:val="0018477D"/>
    <w:rsid w:val="00185338"/>
    <w:rsid w:val="001870CA"/>
    <w:rsid w:val="00190F6D"/>
    <w:rsid w:val="00192CB8"/>
    <w:rsid w:val="00195AD5"/>
    <w:rsid w:val="00197F25"/>
    <w:rsid w:val="001A07F3"/>
    <w:rsid w:val="001A1FC4"/>
    <w:rsid w:val="001A286D"/>
    <w:rsid w:val="001A4328"/>
    <w:rsid w:val="001A680F"/>
    <w:rsid w:val="001B1574"/>
    <w:rsid w:val="001B22A2"/>
    <w:rsid w:val="001B585C"/>
    <w:rsid w:val="001C2273"/>
    <w:rsid w:val="001C2C36"/>
    <w:rsid w:val="001C4DB7"/>
    <w:rsid w:val="001C4F7B"/>
    <w:rsid w:val="001C6804"/>
    <w:rsid w:val="001C72B4"/>
    <w:rsid w:val="001C754D"/>
    <w:rsid w:val="001C7BE3"/>
    <w:rsid w:val="001D0222"/>
    <w:rsid w:val="001D5048"/>
    <w:rsid w:val="001D537E"/>
    <w:rsid w:val="001D75D7"/>
    <w:rsid w:val="001E09DC"/>
    <w:rsid w:val="001E0C5A"/>
    <w:rsid w:val="001E18E9"/>
    <w:rsid w:val="001E40AF"/>
    <w:rsid w:val="001E43FF"/>
    <w:rsid w:val="001E48A0"/>
    <w:rsid w:val="001E5FF0"/>
    <w:rsid w:val="001E7D12"/>
    <w:rsid w:val="001F0D44"/>
    <w:rsid w:val="001F226A"/>
    <w:rsid w:val="001F4FF1"/>
    <w:rsid w:val="001F5FC6"/>
    <w:rsid w:val="001F66D7"/>
    <w:rsid w:val="001F7637"/>
    <w:rsid w:val="001F7A3B"/>
    <w:rsid w:val="002001BB"/>
    <w:rsid w:val="00200CAF"/>
    <w:rsid w:val="00202CE8"/>
    <w:rsid w:val="00203A47"/>
    <w:rsid w:val="00205033"/>
    <w:rsid w:val="00207B9A"/>
    <w:rsid w:val="00211780"/>
    <w:rsid w:val="002128B8"/>
    <w:rsid w:val="00213DF6"/>
    <w:rsid w:val="002177E0"/>
    <w:rsid w:val="0022185D"/>
    <w:rsid w:val="0022331A"/>
    <w:rsid w:val="00223FD5"/>
    <w:rsid w:val="0022453A"/>
    <w:rsid w:val="00225A1D"/>
    <w:rsid w:val="00226DE9"/>
    <w:rsid w:val="00227B6E"/>
    <w:rsid w:val="00227CA1"/>
    <w:rsid w:val="00231307"/>
    <w:rsid w:val="00232B74"/>
    <w:rsid w:val="00232FBF"/>
    <w:rsid w:val="00233B4D"/>
    <w:rsid w:val="002351F8"/>
    <w:rsid w:val="00235579"/>
    <w:rsid w:val="00235BB0"/>
    <w:rsid w:val="00236A8E"/>
    <w:rsid w:val="00237789"/>
    <w:rsid w:val="00240A0C"/>
    <w:rsid w:val="00240C3E"/>
    <w:rsid w:val="00242B6A"/>
    <w:rsid w:val="002438D7"/>
    <w:rsid w:val="00245D9A"/>
    <w:rsid w:val="0024603E"/>
    <w:rsid w:val="00247F98"/>
    <w:rsid w:val="00251378"/>
    <w:rsid w:val="00251605"/>
    <w:rsid w:val="00254921"/>
    <w:rsid w:val="00254CB0"/>
    <w:rsid w:val="002566A9"/>
    <w:rsid w:val="002605B5"/>
    <w:rsid w:val="00260E56"/>
    <w:rsid w:val="002628A1"/>
    <w:rsid w:val="0026561F"/>
    <w:rsid w:val="00266BB2"/>
    <w:rsid w:val="00271BE8"/>
    <w:rsid w:val="0027207B"/>
    <w:rsid w:val="002737DC"/>
    <w:rsid w:val="00276716"/>
    <w:rsid w:val="00277A76"/>
    <w:rsid w:val="00277ED8"/>
    <w:rsid w:val="0028029B"/>
    <w:rsid w:val="002808AC"/>
    <w:rsid w:val="00280AB3"/>
    <w:rsid w:val="0028202D"/>
    <w:rsid w:val="00283261"/>
    <w:rsid w:val="002836EA"/>
    <w:rsid w:val="00287DB9"/>
    <w:rsid w:val="00295C9E"/>
    <w:rsid w:val="00296825"/>
    <w:rsid w:val="00297D1E"/>
    <w:rsid w:val="00297F12"/>
    <w:rsid w:val="002A0332"/>
    <w:rsid w:val="002A084F"/>
    <w:rsid w:val="002A0E58"/>
    <w:rsid w:val="002A1E94"/>
    <w:rsid w:val="002A3E61"/>
    <w:rsid w:val="002A4302"/>
    <w:rsid w:val="002A4A59"/>
    <w:rsid w:val="002A4F00"/>
    <w:rsid w:val="002A5D94"/>
    <w:rsid w:val="002A7328"/>
    <w:rsid w:val="002B0147"/>
    <w:rsid w:val="002B1688"/>
    <w:rsid w:val="002B1A6A"/>
    <w:rsid w:val="002B1E3C"/>
    <w:rsid w:val="002B3B2A"/>
    <w:rsid w:val="002B3B7A"/>
    <w:rsid w:val="002B3D4C"/>
    <w:rsid w:val="002B49A2"/>
    <w:rsid w:val="002B4BA6"/>
    <w:rsid w:val="002B5474"/>
    <w:rsid w:val="002B5DB3"/>
    <w:rsid w:val="002B5FF8"/>
    <w:rsid w:val="002B71EF"/>
    <w:rsid w:val="002C0137"/>
    <w:rsid w:val="002C026F"/>
    <w:rsid w:val="002C0415"/>
    <w:rsid w:val="002C60E3"/>
    <w:rsid w:val="002D42C1"/>
    <w:rsid w:val="002D6CC1"/>
    <w:rsid w:val="002D6FE2"/>
    <w:rsid w:val="002D78E1"/>
    <w:rsid w:val="002E098A"/>
    <w:rsid w:val="002E0B88"/>
    <w:rsid w:val="002E36D0"/>
    <w:rsid w:val="002E38DE"/>
    <w:rsid w:val="002E4094"/>
    <w:rsid w:val="002E4691"/>
    <w:rsid w:val="002E496A"/>
    <w:rsid w:val="002E4DA1"/>
    <w:rsid w:val="002E58E6"/>
    <w:rsid w:val="002E594F"/>
    <w:rsid w:val="002E5AB4"/>
    <w:rsid w:val="002E5C55"/>
    <w:rsid w:val="002E6556"/>
    <w:rsid w:val="002F031B"/>
    <w:rsid w:val="002F0F4A"/>
    <w:rsid w:val="002F1FF1"/>
    <w:rsid w:val="002F3A69"/>
    <w:rsid w:val="002F580F"/>
    <w:rsid w:val="002F6798"/>
    <w:rsid w:val="002F7A6E"/>
    <w:rsid w:val="003009E9"/>
    <w:rsid w:val="00300B35"/>
    <w:rsid w:val="00301680"/>
    <w:rsid w:val="00301D45"/>
    <w:rsid w:val="003026B9"/>
    <w:rsid w:val="00306AAD"/>
    <w:rsid w:val="00307268"/>
    <w:rsid w:val="003106C4"/>
    <w:rsid w:val="003133D4"/>
    <w:rsid w:val="00313E82"/>
    <w:rsid w:val="003142F6"/>
    <w:rsid w:val="00314A9C"/>
    <w:rsid w:val="00316466"/>
    <w:rsid w:val="00317D05"/>
    <w:rsid w:val="00320E71"/>
    <w:rsid w:val="00320F8C"/>
    <w:rsid w:val="00321B9A"/>
    <w:rsid w:val="00321C63"/>
    <w:rsid w:val="003255F8"/>
    <w:rsid w:val="00326085"/>
    <w:rsid w:val="003261DD"/>
    <w:rsid w:val="003300D9"/>
    <w:rsid w:val="00330B3C"/>
    <w:rsid w:val="00332C9B"/>
    <w:rsid w:val="0033436B"/>
    <w:rsid w:val="00336870"/>
    <w:rsid w:val="00340C19"/>
    <w:rsid w:val="003448C4"/>
    <w:rsid w:val="00344ACF"/>
    <w:rsid w:val="00345426"/>
    <w:rsid w:val="00345C5F"/>
    <w:rsid w:val="00346DA2"/>
    <w:rsid w:val="00350EFB"/>
    <w:rsid w:val="003530A6"/>
    <w:rsid w:val="0035330D"/>
    <w:rsid w:val="0035436F"/>
    <w:rsid w:val="00354935"/>
    <w:rsid w:val="00354E50"/>
    <w:rsid w:val="00356BE2"/>
    <w:rsid w:val="00356E37"/>
    <w:rsid w:val="00357740"/>
    <w:rsid w:val="0036329C"/>
    <w:rsid w:val="0036357D"/>
    <w:rsid w:val="00363868"/>
    <w:rsid w:val="00363FB8"/>
    <w:rsid w:val="003648E3"/>
    <w:rsid w:val="00364AD0"/>
    <w:rsid w:val="00365AD1"/>
    <w:rsid w:val="0037021F"/>
    <w:rsid w:val="00370E69"/>
    <w:rsid w:val="00371D7D"/>
    <w:rsid w:val="0037262A"/>
    <w:rsid w:val="003729C7"/>
    <w:rsid w:val="003734A3"/>
    <w:rsid w:val="00373EFD"/>
    <w:rsid w:val="0037407C"/>
    <w:rsid w:val="00374925"/>
    <w:rsid w:val="00374E60"/>
    <w:rsid w:val="0037523C"/>
    <w:rsid w:val="00380065"/>
    <w:rsid w:val="003805A5"/>
    <w:rsid w:val="003813C9"/>
    <w:rsid w:val="003817D4"/>
    <w:rsid w:val="00383532"/>
    <w:rsid w:val="00383B00"/>
    <w:rsid w:val="00384012"/>
    <w:rsid w:val="00385699"/>
    <w:rsid w:val="00385EFF"/>
    <w:rsid w:val="003905E7"/>
    <w:rsid w:val="00393135"/>
    <w:rsid w:val="00393DFC"/>
    <w:rsid w:val="003940B9"/>
    <w:rsid w:val="00394AAA"/>
    <w:rsid w:val="00394D4E"/>
    <w:rsid w:val="003953EA"/>
    <w:rsid w:val="003A023E"/>
    <w:rsid w:val="003A1340"/>
    <w:rsid w:val="003A13EF"/>
    <w:rsid w:val="003A183F"/>
    <w:rsid w:val="003A3BE0"/>
    <w:rsid w:val="003A5A0C"/>
    <w:rsid w:val="003A6855"/>
    <w:rsid w:val="003A753F"/>
    <w:rsid w:val="003A7B50"/>
    <w:rsid w:val="003A7B78"/>
    <w:rsid w:val="003B05A1"/>
    <w:rsid w:val="003B0F4F"/>
    <w:rsid w:val="003B1314"/>
    <w:rsid w:val="003B2D9A"/>
    <w:rsid w:val="003B746C"/>
    <w:rsid w:val="003B778B"/>
    <w:rsid w:val="003C0D77"/>
    <w:rsid w:val="003C20BC"/>
    <w:rsid w:val="003C31BA"/>
    <w:rsid w:val="003C330B"/>
    <w:rsid w:val="003C3C18"/>
    <w:rsid w:val="003C4112"/>
    <w:rsid w:val="003C6165"/>
    <w:rsid w:val="003D5930"/>
    <w:rsid w:val="003D5A33"/>
    <w:rsid w:val="003D7C8F"/>
    <w:rsid w:val="003E00EB"/>
    <w:rsid w:val="003E0422"/>
    <w:rsid w:val="003E07D6"/>
    <w:rsid w:val="003E3AAC"/>
    <w:rsid w:val="003E4EFC"/>
    <w:rsid w:val="003E7DC4"/>
    <w:rsid w:val="003E7E03"/>
    <w:rsid w:val="003F01EA"/>
    <w:rsid w:val="003F06CF"/>
    <w:rsid w:val="003F0A65"/>
    <w:rsid w:val="003F14CA"/>
    <w:rsid w:val="003F2281"/>
    <w:rsid w:val="003F543B"/>
    <w:rsid w:val="003F5A1A"/>
    <w:rsid w:val="003F5A5E"/>
    <w:rsid w:val="003F75C5"/>
    <w:rsid w:val="004040E2"/>
    <w:rsid w:val="004052BA"/>
    <w:rsid w:val="004058AF"/>
    <w:rsid w:val="004059B4"/>
    <w:rsid w:val="00405B0E"/>
    <w:rsid w:val="00406231"/>
    <w:rsid w:val="00406814"/>
    <w:rsid w:val="0040699F"/>
    <w:rsid w:val="00407838"/>
    <w:rsid w:val="00407AAB"/>
    <w:rsid w:val="00410767"/>
    <w:rsid w:val="00410930"/>
    <w:rsid w:val="004118F3"/>
    <w:rsid w:val="00411FFB"/>
    <w:rsid w:val="004130E5"/>
    <w:rsid w:val="004131A9"/>
    <w:rsid w:val="004152A2"/>
    <w:rsid w:val="00417AAD"/>
    <w:rsid w:val="00421FAB"/>
    <w:rsid w:val="00423D42"/>
    <w:rsid w:val="00423D64"/>
    <w:rsid w:val="00425D79"/>
    <w:rsid w:val="00426F4F"/>
    <w:rsid w:val="00427E2F"/>
    <w:rsid w:val="0043031C"/>
    <w:rsid w:val="00430597"/>
    <w:rsid w:val="00430BDF"/>
    <w:rsid w:val="00431FAC"/>
    <w:rsid w:val="0043279D"/>
    <w:rsid w:val="0043405F"/>
    <w:rsid w:val="004346E2"/>
    <w:rsid w:val="00434B4E"/>
    <w:rsid w:val="004361A7"/>
    <w:rsid w:val="004363C3"/>
    <w:rsid w:val="00436F88"/>
    <w:rsid w:val="004416E2"/>
    <w:rsid w:val="00442B74"/>
    <w:rsid w:val="00443BAE"/>
    <w:rsid w:val="0044422F"/>
    <w:rsid w:val="004446E5"/>
    <w:rsid w:val="004460B2"/>
    <w:rsid w:val="00447B99"/>
    <w:rsid w:val="0045043E"/>
    <w:rsid w:val="00450591"/>
    <w:rsid w:val="00450C2F"/>
    <w:rsid w:val="00451320"/>
    <w:rsid w:val="00451FD4"/>
    <w:rsid w:val="00453115"/>
    <w:rsid w:val="00453855"/>
    <w:rsid w:val="00455BB0"/>
    <w:rsid w:val="00455DBE"/>
    <w:rsid w:val="00456D9B"/>
    <w:rsid w:val="004611C9"/>
    <w:rsid w:val="00461C82"/>
    <w:rsid w:val="00461EED"/>
    <w:rsid w:val="00462FC3"/>
    <w:rsid w:val="0046384B"/>
    <w:rsid w:val="004660C1"/>
    <w:rsid w:val="00466E9C"/>
    <w:rsid w:val="00467D62"/>
    <w:rsid w:val="00470D79"/>
    <w:rsid w:val="00472007"/>
    <w:rsid w:val="004723DB"/>
    <w:rsid w:val="00472CDF"/>
    <w:rsid w:val="00473F4F"/>
    <w:rsid w:val="004744E4"/>
    <w:rsid w:val="00475016"/>
    <w:rsid w:val="004761FB"/>
    <w:rsid w:val="00476F0B"/>
    <w:rsid w:val="00477929"/>
    <w:rsid w:val="00480B9B"/>
    <w:rsid w:val="00481F85"/>
    <w:rsid w:val="00481F90"/>
    <w:rsid w:val="00483755"/>
    <w:rsid w:val="00484A4C"/>
    <w:rsid w:val="004858A2"/>
    <w:rsid w:val="004859FB"/>
    <w:rsid w:val="00485EFD"/>
    <w:rsid w:val="00487D60"/>
    <w:rsid w:val="00490AD1"/>
    <w:rsid w:val="00492F8E"/>
    <w:rsid w:val="0049348D"/>
    <w:rsid w:val="00494D8B"/>
    <w:rsid w:val="004968E3"/>
    <w:rsid w:val="00496C30"/>
    <w:rsid w:val="004A1C50"/>
    <w:rsid w:val="004A2BA5"/>
    <w:rsid w:val="004A34BF"/>
    <w:rsid w:val="004A48CA"/>
    <w:rsid w:val="004A533B"/>
    <w:rsid w:val="004A671B"/>
    <w:rsid w:val="004A67DA"/>
    <w:rsid w:val="004A7D5A"/>
    <w:rsid w:val="004A7D6C"/>
    <w:rsid w:val="004B0790"/>
    <w:rsid w:val="004B1D9E"/>
    <w:rsid w:val="004B200E"/>
    <w:rsid w:val="004B54BA"/>
    <w:rsid w:val="004B5847"/>
    <w:rsid w:val="004B694D"/>
    <w:rsid w:val="004C2C29"/>
    <w:rsid w:val="004C3FD1"/>
    <w:rsid w:val="004C4CF5"/>
    <w:rsid w:val="004C4EA7"/>
    <w:rsid w:val="004C6B4B"/>
    <w:rsid w:val="004D02D0"/>
    <w:rsid w:val="004D224F"/>
    <w:rsid w:val="004D41B3"/>
    <w:rsid w:val="004D5767"/>
    <w:rsid w:val="004D5EFE"/>
    <w:rsid w:val="004D64DD"/>
    <w:rsid w:val="004D6D66"/>
    <w:rsid w:val="004E244A"/>
    <w:rsid w:val="004E4F3C"/>
    <w:rsid w:val="004E5281"/>
    <w:rsid w:val="004E5DCE"/>
    <w:rsid w:val="004E6B4B"/>
    <w:rsid w:val="004E6D9E"/>
    <w:rsid w:val="004E6FD9"/>
    <w:rsid w:val="004E7536"/>
    <w:rsid w:val="004E7CCB"/>
    <w:rsid w:val="004E7EFA"/>
    <w:rsid w:val="004F2F89"/>
    <w:rsid w:val="004F5A05"/>
    <w:rsid w:val="004F6B6D"/>
    <w:rsid w:val="00501157"/>
    <w:rsid w:val="0050232A"/>
    <w:rsid w:val="00502F6D"/>
    <w:rsid w:val="005043B5"/>
    <w:rsid w:val="00505FC0"/>
    <w:rsid w:val="00511969"/>
    <w:rsid w:val="00512851"/>
    <w:rsid w:val="00512890"/>
    <w:rsid w:val="00514273"/>
    <w:rsid w:val="00520237"/>
    <w:rsid w:val="00520B32"/>
    <w:rsid w:val="00520B7E"/>
    <w:rsid w:val="00520F0F"/>
    <w:rsid w:val="005217B2"/>
    <w:rsid w:val="005222CB"/>
    <w:rsid w:val="0052275A"/>
    <w:rsid w:val="00523F85"/>
    <w:rsid w:val="0052519A"/>
    <w:rsid w:val="0052596E"/>
    <w:rsid w:val="00526E1F"/>
    <w:rsid w:val="00530664"/>
    <w:rsid w:val="00531873"/>
    <w:rsid w:val="00532777"/>
    <w:rsid w:val="00532EA8"/>
    <w:rsid w:val="00533316"/>
    <w:rsid w:val="00534AE1"/>
    <w:rsid w:val="00535A4C"/>
    <w:rsid w:val="00537B91"/>
    <w:rsid w:val="00540AB5"/>
    <w:rsid w:val="00541348"/>
    <w:rsid w:val="0054181B"/>
    <w:rsid w:val="005440C7"/>
    <w:rsid w:val="00545CE8"/>
    <w:rsid w:val="00545DF0"/>
    <w:rsid w:val="00546A83"/>
    <w:rsid w:val="00546F70"/>
    <w:rsid w:val="0055732F"/>
    <w:rsid w:val="005575A4"/>
    <w:rsid w:val="005601D6"/>
    <w:rsid w:val="00561136"/>
    <w:rsid w:val="00561AD7"/>
    <w:rsid w:val="00562114"/>
    <w:rsid w:val="005623C8"/>
    <w:rsid w:val="00564BAB"/>
    <w:rsid w:val="0056713B"/>
    <w:rsid w:val="0057088A"/>
    <w:rsid w:val="005712D7"/>
    <w:rsid w:val="00572177"/>
    <w:rsid w:val="00572C69"/>
    <w:rsid w:val="0057510C"/>
    <w:rsid w:val="00576C57"/>
    <w:rsid w:val="00577E80"/>
    <w:rsid w:val="005813FB"/>
    <w:rsid w:val="0058189C"/>
    <w:rsid w:val="00582150"/>
    <w:rsid w:val="00590AEB"/>
    <w:rsid w:val="00591EBE"/>
    <w:rsid w:val="00592C30"/>
    <w:rsid w:val="00592F29"/>
    <w:rsid w:val="0059332E"/>
    <w:rsid w:val="00593AC6"/>
    <w:rsid w:val="0059455F"/>
    <w:rsid w:val="00596FD3"/>
    <w:rsid w:val="005A0ABA"/>
    <w:rsid w:val="005A2A5E"/>
    <w:rsid w:val="005A43F3"/>
    <w:rsid w:val="005A5A96"/>
    <w:rsid w:val="005A77E6"/>
    <w:rsid w:val="005B1CEC"/>
    <w:rsid w:val="005B3488"/>
    <w:rsid w:val="005B38BF"/>
    <w:rsid w:val="005B5481"/>
    <w:rsid w:val="005C130A"/>
    <w:rsid w:val="005C2BEB"/>
    <w:rsid w:val="005C2E66"/>
    <w:rsid w:val="005C31F0"/>
    <w:rsid w:val="005C60D4"/>
    <w:rsid w:val="005C7352"/>
    <w:rsid w:val="005C79A2"/>
    <w:rsid w:val="005E07AE"/>
    <w:rsid w:val="005E1163"/>
    <w:rsid w:val="005E20C3"/>
    <w:rsid w:val="005E2AE8"/>
    <w:rsid w:val="005E36B9"/>
    <w:rsid w:val="005E56A5"/>
    <w:rsid w:val="005E6A2D"/>
    <w:rsid w:val="005F07EE"/>
    <w:rsid w:val="005F0F5C"/>
    <w:rsid w:val="005F2DFE"/>
    <w:rsid w:val="005F7D97"/>
    <w:rsid w:val="00600E1E"/>
    <w:rsid w:val="00604129"/>
    <w:rsid w:val="00606FCF"/>
    <w:rsid w:val="006073C8"/>
    <w:rsid w:val="00607628"/>
    <w:rsid w:val="00617738"/>
    <w:rsid w:val="00620D21"/>
    <w:rsid w:val="00622B96"/>
    <w:rsid w:val="00623E91"/>
    <w:rsid w:val="00625DDF"/>
    <w:rsid w:val="006266BD"/>
    <w:rsid w:val="006269B7"/>
    <w:rsid w:val="00626DAE"/>
    <w:rsid w:val="00627F9E"/>
    <w:rsid w:val="00630335"/>
    <w:rsid w:val="0063117C"/>
    <w:rsid w:val="006317D1"/>
    <w:rsid w:val="00631D84"/>
    <w:rsid w:val="0063247C"/>
    <w:rsid w:val="00633968"/>
    <w:rsid w:val="0063458D"/>
    <w:rsid w:val="006349A0"/>
    <w:rsid w:val="006357A0"/>
    <w:rsid w:val="006372FD"/>
    <w:rsid w:val="00637A9C"/>
    <w:rsid w:val="00637F74"/>
    <w:rsid w:val="00640E67"/>
    <w:rsid w:val="006414AD"/>
    <w:rsid w:val="00642FE5"/>
    <w:rsid w:val="00644F35"/>
    <w:rsid w:val="0065125E"/>
    <w:rsid w:val="0065237B"/>
    <w:rsid w:val="006543B2"/>
    <w:rsid w:val="00654C08"/>
    <w:rsid w:val="00656E47"/>
    <w:rsid w:val="00656E59"/>
    <w:rsid w:val="006571B5"/>
    <w:rsid w:val="006649E7"/>
    <w:rsid w:val="006653EA"/>
    <w:rsid w:val="0066645C"/>
    <w:rsid w:val="0066699E"/>
    <w:rsid w:val="00666E3B"/>
    <w:rsid w:val="00667A85"/>
    <w:rsid w:val="006726CF"/>
    <w:rsid w:val="00672E5F"/>
    <w:rsid w:val="00674401"/>
    <w:rsid w:val="00675214"/>
    <w:rsid w:val="006759D7"/>
    <w:rsid w:val="006779C4"/>
    <w:rsid w:val="00681BF7"/>
    <w:rsid w:val="00683D83"/>
    <w:rsid w:val="00685B89"/>
    <w:rsid w:val="006863A7"/>
    <w:rsid w:val="00691A1A"/>
    <w:rsid w:val="00691FEB"/>
    <w:rsid w:val="00692092"/>
    <w:rsid w:val="00692B44"/>
    <w:rsid w:val="006941BF"/>
    <w:rsid w:val="00694C61"/>
    <w:rsid w:val="006959EC"/>
    <w:rsid w:val="006A1140"/>
    <w:rsid w:val="006A1B5B"/>
    <w:rsid w:val="006A45AD"/>
    <w:rsid w:val="006A4A5E"/>
    <w:rsid w:val="006A4FF6"/>
    <w:rsid w:val="006A6DEF"/>
    <w:rsid w:val="006B1211"/>
    <w:rsid w:val="006B176B"/>
    <w:rsid w:val="006B1D3C"/>
    <w:rsid w:val="006B2DB3"/>
    <w:rsid w:val="006B3313"/>
    <w:rsid w:val="006B3E24"/>
    <w:rsid w:val="006B5ACC"/>
    <w:rsid w:val="006B6F4B"/>
    <w:rsid w:val="006B7AE1"/>
    <w:rsid w:val="006B7E7B"/>
    <w:rsid w:val="006C02E7"/>
    <w:rsid w:val="006C062D"/>
    <w:rsid w:val="006C1F47"/>
    <w:rsid w:val="006C39E7"/>
    <w:rsid w:val="006C3A1B"/>
    <w:rsid w:val="006D0322"/>
    <w:rsid w:val="006D1861"/>
    <w:rsid w:val="006D354B"/>
    <w:rsid w:val="006D39BC"/>
    <w:rsid w:val="006D5773"/>
    <w:rsid w:val="006D5CE6"/>
    <w:rsid w:val="006D5E9E"/>
    <w:rsid w:val="006D7067"/>
    <w:rsid w:val="006D7748"/>
    <w:rsid w:val="006E0652"/>
    <w:rsid w:val="006E142F"/>
    <w:rsid w:val="006E1C94"/>
    <w:rsid w:val="006E25AB"/>
    <w:rsid w:val="006E6F68"/>
    <w:rsid w:val="006F0D01"/>
    <w:rsid w:val="006F0FD9"/>
    <w:rsid w:val="006F20D7"/>
    <w:rsid w:val="006F395C"/>
    <w:rsid w:val="006F7F7F"/>
    <w:rsid w:val="00703EC5"/>
    <w:rsid w:val="00710EBD"/>
    <w:rsid w:val="00711EA4"/>
    <w:rsid w:val="00712617"/>
    <w:rsid w:val="00713E03"/>
    <w:rsid w:val="007160BD"/>
    <w:rsid w:val="007163EA"/>
    <w:rsid w:val="00717CF2"/>
    <w:rsid w:val="00717F0B"/>
    <w:rsid w:val="00721EEE"/>
    <w:rsid w:val="00724DC8"/>
    <w:rsid w:val="00730183"/>
    <w:rsid w:val="00731D68"/>
    <w:rsid w:val="00732069"/>
    <w:rsid w:val="00735D31"/>
    <w:rsid w:val="007368B4"/>
    <w:rsid w:val="00736987"/>
    <w:rsid w:val="0073707F"/>
    <w:rsid w:val="007378F0"/>
    <w:rsid w:val="007402AE"/>
    <w:rsid w:val="007437D0"/>
    <w:rsid w:val="00747638"/>
    <w:rsid w:val="00750B3F"/>
    <w:rsid w:val="00751692"/>
    <w:rsid w:val="00752B08"/>
    <w:rsid w:val="00752D92"/>
    <w:rsid w:val="007547FD"/>
    <w:rsid w:val="0075498B"/>
    <w:rsid w:val="00757743"/>
    <w:rsid w:val="00760258"/>
    <w:rsid w:val="007602A7"/>
    <w:rsid w:val="00760E65"/>
    <w:rsid w:val="007619CB"/>
    <w:rsid w:val="00762FB6"/>
    <w:rsid w:val="00763AF8"/>
    <w:rsid w:val="00764238"/>
    <w:rsid w:val="00764BFE"/>
    <w:rsid w:val="0076590D"/>
    <w:rsid w:val="00766841"/>
    <w:rsid w:val="00767A62"/>
    <w:rsid w:val="00770A6C"/>
    <w:rsid w:val="007729E8"/>
    <w:rsid w:val="00772BAF"/>
    <w:rsid w:val="0077470C"/>
    <w:rsid w:val="00774FE3"/>
    <w:rsid w:val="007764F9"/>
    <w:rsid w:val="007769E0"/>
    <w:rsid w:val="00777534"/>
    <w:rsid w:val="00783190"/>
    <w:rsid w:val="00783EB3"/>
    <w:rsid w:val="007848C3"/>
    <w:rsid w:val="0078570E"/>
    <w:rsid w:val="007859E3"/>
    <w:rsid w:val="00786103"/>
    <w:rsid w:val="00786D8F"/>
    <w:rsid w:val="007872C9"/>
    <w:rsid w:val="00787B3D"/>
    <w:rsid w:val="00787C69"/>
    <w:rsid w:val="00795F49"/>
    <w:rsid w:val="007964CD"/>
    <w:rsid w:val="00796676"/>
    <w:rsid w:val="00797C0F"/>
    <w:rsid w:val="00797C9E"/>
    <w:rsid w:val="00797D05"/>
    <w:rsid w:val="00797D48"/>
    <w:rsid w:val="007A177B"/>
    <w:rsid w:val="007A1A15"/>
    <w:rsid w:val="007A1DA9"/>
    <w:rsid w:val="007A2104"/>
    <w:rsid w:val="007A3132"/>
    <w:rsid w:val="007B2892"/>
    <w:rsid w:val="007B4BDA"/>
    <w:rsid w:val="007B6147"/>
    <w:rsid w:val="007B6295"/>
    <w:rsid w:val="007B7D4D"/>
    <w:rsid w:val="007B7F22"/>
    <w:rsid w:val="007C0200"/>
    <w:rsid w:val="007C7955"/>
    <w:rsid w:val="007C7F39"/>
    <w:rsid w:val="007D1805"/>
    <w:rsid w:val="007D2597"/>
    <w:rsid w:val="007D3109"/>
    <w:rsid w:val="007D41BB"/>
    <w:rsid w:val="007D50DB"/>
    <w:rsid w:val="007E03FA"/>
    <w:rsid w:val="007E1B6E"/>
    <w:rsid w:val="007E2D09"/>
    <w:rsid w:val="007E3CF4"/>
    <w:rsid w:val="007E56B6"/>
    <w:rsid w:val="007E6148"/>
    <w:rsid w:val="007E6886"/>
    <w:rsid w:val="007E6EC2"/>
    <w:rsid w:val="007F0CFB"/>
    <w:rsid w:val="007F1F92"/>
    <w:rsid w:val="007F305F"/>
    <w:rsid w:val="007F35C6"/>
    <w:rsid w:val="007F4C70"/>
    <w:rsid w:val="007F6B2C"/>
    <w:rsid w:val="007F7255"/>
    <w:rsid w:val="00800438"/>
    <w:rsid w:val="00801992"/>
    <w:rsid w:val="00801E1E"/>
    <w:rsid w:val="00802469"/>
    <w:rsid w:val="008050B0"/>
    <w:rsid w:val="00807609"/>
    <w:rsid w:val="0081489A"/>
    <w:rsid w:val="00814DCA"/>
    <w:rsid w:val="0081795B"/>
    <w:rsid w:val="00820287"/>
    <w:rsid w:val="008236DF"/>
    <w:rsid w:val="00823A16"/>
    <w:rsid w:val="00824718"/>
    <w:rsid w:val="008248B3"/>
    <w:rsid w:val="00824C72"/>
    <w:rsid w:val="00825CCB"/>
    <w:rsid w:val="00830D77"/>
    <w:rsid w:val="00831522"/>
    <w:rsid w:val="00834985"/>
    <w:rsid w:val="00835651"/>
    <w:rsid w:val="008356AE"/>
    <w:rsid w:val="00835D64"/>
    <w:rsid w:val="008464BD"/>
    <w:rsid w:val="008471A1"/>
    <w:rsid w:val="00847AF9"/>
    <w:rsid w:val="00850D2D"/>
    <w:rsid w:val="00851435"/>
    <w:rsid w:val="008545FC"/>
    <w:rsid w:val="00855740"/>
    <w:rsid w:val="0085780C"/>
    <w:rsid w:val="00862522"/>
    <w:rsid w:val="00863F82"/>
    <w:rsid w:val="00864D04"/>
    <w:rsid w:val="00865EAB"/>
    <w:rsid w:val="0086787F"/>
    <w:rsid w:val="008715B6"/>
    <w:rsid w:val="00871B22"/>
    <w:rsid w:val="00872540"/>
    <w:rsid w:val="008727BF"/>
    <w:rsid w:val="00872BBF"/>
    <w:rsid w:val="00873CD6"/>
    <w:rsid w:val="0087484B"/>
    <w:rsid w:val="00876969"/>
    <w:rsid w:val="00877251"/>
    <w:rsid w:val="00877556"/>
    <w:rsid w:val="00884F4E"/>
    <w:rsid w:val="008852DC"/>
    <w:rsid w:val="00890819"/>
    <w:rsid w:val="00891190"/>
    <w:rsid w:val="00894A9F"/>
    <w:rsid w:val="008970B4"/>
    <w:rsid w:val="008976A1"/>
    <w:rsid w:val="008A11E4"/>
    <w:rsid w:val="008A14A8"/>
    <w:rsid w:val="008A2A70"/>
    <w:rsid w:val="008A2C6A"/>
    <w:rsid w:val="008A39FB"/>
    <w:rsid w:val="008A5CC4"/>
    <w:rsid w:val="008A653B"/>
    <w:rsid w:val="008A6E23"/>
    <w:rsid w:val="008A7673"/>
    <w:rsid w:val="008B05CB"/>
    <w:rsid w:val="008B141A"/>
    <w:rsid w:val="008B3877"/>
    <w:rsid w:val="008B3889"/>
    <w:rsid w:val="008B487E"/>
    <w:rsid w:val="008B4E84"/>
    <w:rsid w:val="008B5502"/>
    <w:rsid w:val="008B6292"/>
    <w:rsid w:val="008B6861"/>
    <w:rsid w:val="008B695A"/>
    <w:rsid w:val="008B6CB7"/>
    <w:rsid w:val="008B6F62"/>
    <w:rsid w:val="008B75F1"/>
    <w:rsid w:val="008C26D2"/>
    <w:rsid w:val="008C29C2"/>
    <w:rsid w:val="008C52DA"/>
    <w:rsid w:val="008C55EA"/>
    <w:rsid w:val="008C6547"/>
    <w:rsid w:val="008C6AC0"/>
    <w:rsid w:val="008C6AD6"/>
    <w:rsid w:val="008D156C"/>
    <w:rsid w:val="008D1956"/>
    <w:rsid w:val="008D6A5F"/>
    <w:rsid w:val="008E0B03"/>
    <w:rsid w:val="008E0F1F"/>
    <w:rsid w:val="008E2228"/>
    <w:rsid w:val="008E3F9A"/>
    <w:rsid w:val="008E428D"/>
    <w:rsid w:val="008E4977"/>
    <w:rsid w:val="008E58A7"/>
    <w:rsid w:val="008E5C31"/>
    <w:rsid w:val="008F13FF"/>
    <w:rsid w:val="008F5389"/>
    <w:rsid w:val="008F5EA7"/>
    <w:rsid w:val="0090320B"/>
    <w:rsid w:val="009033D7"/>
    <w:rsid w:val="00904A94"/>
    <w:rsid w:val="00906689"/>
    <w:rsid w:val="009112DC"/>
    <w:rsid w:val="00912498"/>
    <w:rsid w:val="00912B8E"/>
    <w:rsid w:val="009133C1"/>
    <w:rsid w:val="00914301"/>
    <w:rsid w:val="009167F8"/>
    <w:rsid w:val="00917C28"/>
    <w:rsid w:val="00921169"/>
    <w:rsid w:val="0092160C"/>
    <w:rsid w:val="00921AEB"/>
    <w:rsid w:val="00922A2C"/>
    <w:rsid w:val="0092318A"/>
    <w:rsid w:val="00923814"/>
    <w:rsid w:val="009262A9"/>
    <w:rsid w:val="00930C53"/>
    <w:rsid w:val="009310C6"/>
    <w:rsid w:val="00931485"/>
    <w:rsid w:val="00933A38"/>
    <w:rsid w:val="00934A9C"/>
    <w:rsid w:val="00934CCB"/>
    <w:rsid w:val="00935457"/>
    <w:rsid w:val="0093765C"/>
    <w:rsid w:val="00940085"/>
    <w:rsid w:val="0094032D"/>
    <w:rsid w:val="00940540"/>
    <w:rsid w:val="0094091A"/>
    <w:rsid w:val="009409BB"/>
    <w:rsid w:val="009420C8"/>
    <w:rsid w:val="00943472"/>
    <w:rsid w:val="00943A57"/>
    <w:rsid w:val="00944F5B"/>
    <w:rsid w:val="00945FF3"/>
    <w:rsid w:val="009474FF"/>
    <w:rsid w:val="00947D08"/>
    <w:rsid w:val="00950AD5"/>
    <w:rsid w:val="00950CA6"/>
    <w:rsid w:val="0095181A"/>
    <w:rsid w:val="0095335E"/>
    <w:rsid w:val="00955C66"/>
    <w:rsid w:val="00957A05"/>
    <w:rsid w:val="00962A1A"/>
    <w:rsid w:val="00964892"/>
    <w:rsid w:val="00966A00"/>
    <w:rsid w:val="00970618"/>
    <w:rsid w:val="00970791"/>
    <w:rsid w:val="00971198"/>
    <w:rsid w:val="00974031"/>
    <w:rsid w:val="0097425B"/>
    <w:rsid w:val="0097619B"/>
    <w:rsid w:val="009779AA"/>
    <w:rsid w:val="009811D5"/>
    <w:rsid w:val="00981D10"/>
    <w:rsid w:val="00985166"/>
    <w:rsid w:val="00986408"/>
    <w:rsid w:val="00986C80"/>
    <w:rsid w:val="0099049E"/>
    <w:rsid w:val="00990F99"/>
    <w:rsid w:val="00991491"/>
    <w:rsid w:val="0099231F"/>
    <w:rsid w:val="009926AD"/>
    <w:rsid w:val="00992920"/>
    <w:rsid w:val="00992B4C"/>
    <w:rsid w:val="009936EE"/>
    <w:rsid w:val="0099463D"/>
    <w:rsid w:val="00995552"/>
    <w:rsid w:val="0099574B"/>
    <w:rsid w:val="00996175"/>
    <w:rsid w:val="00997438"/>
    <w:rsid w:val="0099754B"/>
    <w:rsid w:val="009A2541"/>
    <w:rsid w:val="009A289E"/>
    <w:rsid w:val="009A2DEB"/>
    <w:rsid w:val="009A43BF"/>
    <w:rsid w:val="009A4BF1"/>
    <w:rsid w:val="009B0185"/>
    <w:rsid w:val="009B0AC6"/>
    <w:rsid w:val="009B113D"/>
    <w:rsid w:val="009B1B80"/>
    <w:rsid w:val="009B541C"/>
    <w:rsid w:val="009B59C6"/>
    <w:rsid w:val="009B72B9"/>
    <w:rsid w:val="009C0FF9"/>
    <w:rsid w:val="009C10D2"/>
    <w:rsid w:val="009C1EF7"/>
    <w:rsid w:val="009C23F1"/>
    <w:rsid w:val="009C2859"/>
    <w:rsid w:val="009C48C0"/>
    <w:rsid w:val="009C567C"/>
    <w:rsid w:val="009D0CD2"/>
    <w:rsid w:val="009D5880"/>
    <w:rsid w:val="009D5ED5"/>
    <w:rsid w:val="009D6B8E"/>
    <w:rsid w:val="009D6FFC"/>
    <w:rsid w:val="009E7CA9"/>
    <w:rsid w:val="009E7D06"/>
    <w:rsid w:val="009F10BB"/>
    <w:rsid w:val="009F1792"/>
    <w:rsid w:val="009F2281"/>
    <w:rsid w:val="009F2852"/>
    <w:rsid w:val="009F7389"/>
    <w:rsid w:val="009F764A"/>
    <w:rsid w:val="00A048C7"/>
    <w:rsid w:val="00A04CC5"/>
    <w:rsid w:val="00A05FB8"/>
    <w:rsid w:val="00A06B08"/>
    <w:rsid w:val="00A07306"/>
    <w:rsid w:val="00A07881"/>
    <w:rsid w:val="00A13C2B"/>
    <w:rsid w:val="00A16ECD"/>
    <w:rsid w:val="00A21561"/>
    <w:rsid w:val="00A21587"/>
    <w:rsid w:val="00A22010"/>
    <w:rsid w:val="00A235F1"/>
    <w:rsid w:val="00A24182"/>
    <w:rsid w:val="00A24AF3"/>
    <w:rsid w:val="00A25384"/>
    <w:rsid w:val="00A270E3"/>
    <w:rsid w:val="00A274EE"/>
    <w:rsid w:val="00A31AE3"/>
    <w:rsid w:val="00A34049"/>
    <w:rsid w:val="00A37E77"/>
    <w:rsid w:val="00A406BD"/>
    <w:rsid w:val="00A41BEC"/>
    <w:rsid w:val="00A44C08"/>
    <w:rsid w:val="00A4563C"/>
    <w:rsid w:val="00A461FA"/>
    <w:rsid w:val="00A5135C"/>
    <w:rsid w:val="00A51B0C"/>
    <w:rsid w:val="00A52778"/>
    <w:rsid w:val="00A53DAF"/>
    <w:rsid w:val="00A54054"/>
    <w:rsid w:val="00A6097A"/>
    <w:rsid w:val="00A60BA1"/>
    <w:rsid w:val="00A613C7"/>
    <w:rsid w:val="00A61BB8"/>
    <w:rsid w:val="00A61C76"/>
    <w:rsid w:val="00A62440"/>
    <w:rsid w:val="00A62C25"/>
    <w:rsid w:val="00A6369D"/>
    <w:rsid w:val="00A6401B"/>
    <w:rsid w:val="00A65AB4"/>
    <w:rsid w:val="00A66465"/>
    <w:rsid w:val="00A66711"/>
    <w:rsid w:val="00A67FF1"/>
    <w:rsid w:val="00A72194"/>
    <w:rsid w:val="00A72200"/>
    <w:rsid w:val="00A7293C"/>
    <w:rsid w:val="00A73146"/>
    <w:rsid w:val="00A73F4C"/>
    <w:rsid w:val="00A73F67"/>
    <w:rsid w:val="00A76C84"/>
    <w:rsid w:val="00A770F8"/>
    <w:rsid w:val="00A7726A"/>
    <w:rsid w:val="00A80936"/>
    <w:rsid w:val="00A82A8C"/>
    <w:rsid w:val="00A84C49"/>
    <w:rsid w:val="00A853B5"/>
    <w:rsid w:val="00A8551B"/>
    <w:rsid w:val="00A87CEC"/>
    <w:rsid w:val="00A9014A"/>
    <w:rsid w:val="00A93500"/>
    <w:rsid w:val="00A93A19"/>
    <w:rsid w:val="00A93F6C"/>
    <w:rsid w:val="00A9498A"/>
    <w:rsid w:val="00A94A19"/>
    <w:rsid w:val="00A95B19"/>
    <w:rsid w:val="00AA123D"/>
    <w:rsid w:val="00AA1745"/>
    <w:rsid w:val="00AA1D58"/>
    <w:rsid w:val="00AA21A2"/>
    <w:rsid w:val="00AA2BB6"/>
    <w:rsid w:val="00AA5EEA"/>
    <w:rsid w:val="00AB2171"/>
    <w:rsid w:val="00AB2C41"/>
    <w:rsid w:val="00AB4131"/>
    <w:rsid w:val="00AB626C"/>
    <w:rsid w:val="00AB6632"/>
    <w:rsid w:val="00AC0F09"/>
    <w:rsid w:val="00AC283B"/>
    <w:rsid w:val="00AC2C3A"/>
    <w:rsid w:val="00AC5074"/>
    <w:rsid w:val="00AC7C10"/>
    <w:rsid w:val="00AD0996"/>
    <w:rsid w:val="00AD1B6D"/>
    <w:rsid w:val="00AD5F88"/>
    <w:rsid w:val="00AD64FE"/>
    <w:rsid w:val="00AD665A"/>
    <w:rsid w:val="00AD66D6"/>
    <w:rsid w:val="00AD6B26"/>
    <w:rsid w:val="00AD7C2D"/>
    <w:rsid w:val="00AD7FD9"/>
    <w:rsid w:val="00AE026F"/>
    <w:rsid w:val="00AE064A"/>
    <w:rsid w:val="00AE4087"/>
    <w:rsid w:val="00AE43C5"/>
    <w:rsid w:val="00AE7CF4"/>
    <w:rsid w:val="00AF073F"/>
    <w:rsid w:val="00AF0DBF"/>
    <w:rsid w:val="00AF0FD7"/>
    <w:rsid w:val="00AF221C"/>
    <w:rsid w:val="00AF3257"/>
    <w:rsid w:val="00AF496E"/>
    <w:rsid w:val="00AF5032"/>
    <w:rsid w:val="00B00D9D"/>
    <w:rsid w:val="00B04D27"/>
    <w:rsid w:val="00B070C2"/>
    <w:rsid w:val="00B07EE0"/>
    <w:rsid w:val="00B1006C"/>
    <w:rsid w:val="00B10D1C"/>
    <w:rsid w:val="00B12782"/>
    <w:rsid w:val="00B13509"/>
    <w:rsid w:val="00B16EE3"/>
    <w:rsid w:val="00B17F1A"/>
    <w:rsid w:val="00B21BD9"/>
    <w:rsid w:val="00B22C8B"/>
    <w:rsid w:val="00B24007"/>
    <w:rsid w:val="00B24BA3"/>
    <w:rsid w:val="00B24D96"/>
    <w:rsid w:val="00B26749"/>
    <w:rsid w:val="00B26B32"/>
    <w:rsid w:val="00B26EC8"/>
    <w:rsid w:val="00B275CA"/>
    <w:rsid w:val="00B302A7"/>
    <w:rsid w:val="00B30E9F"/>
    <w:rsid w:val="00B312D5"/>
    <w:rsid w:val="00B328A0"/>
    <w:rsid w:val="00B3290E"/>
    <w:rsid w:val="00B32DFB"/>
    <w:rsid w:val="00B337D3"/>
    <w:rsid w:val="00B34917"/>
    <w:rsid w:val="00B36501"/>
    <w:rsid w:val="00B40000"/>
    <w:rsid w:val="00B40CE4"/>
    <w:rsid w:val="00B5445A"/>
    <w:rsid w:val="00B548DB"/>
    <w:rsid w:val="00B55C88"/>
    <w:rsid w:val="00B55E93"/>
    <w:rsid w:val="00B56F51"/>
    <w:rsid w:val="00B62466"/>
    <w:rsid w:val="00B640BF"/>
    <w:rsid w:val="00B64E40"/>
    <w:rsid w:val="00B65C42"/>
    <w:rsid w:val="00B668C0"/>
    <w:rsid w:val="00B676CF"/>
    <w:rsid w:val="00B67BC3"/>
    <w:rsid w:val="00B71261"/>
    <w:rsid w:val="00B7170E"/>
    <w:rsid w:val="00B71D29"/>
    <w:rsid w:val="00B75B0B"/>
    <w:rsid w:val="00B77F6C"/>
    <w:rsid w:val="00B811B5"/>
    <w:rsid w:val="00B85436"/>
    <w:rsid w:val="00B904C8"/>
    <w:rsid w:val="00B9205E"/>
    <w:rsid w:val="00B92BE2"/>
    <w:rsid w:val="00B92F8B"/>
    <w:rsid w:val="00B9512D"/>
    <w:rsid w:val="00BA1426"/>
    <w:rsid w:val="00BA742A"/>
    <w:rsid w:val="00BA750A"/>
    <w:rsid w:val="00BB1A2E"/>
    <w:rsid w:val="00BB2B48"/>
    <w:rsid w:val="00BB430C"/>
    <w:rsid w:val="00BB7AD5"/>
    <w:rsid w:val="00BC15FF"/>
    <w:rsid w:val="00BC3A3D"/>
    <w:rsid w:val="00BC5674"/>
    <w:rsid w:val="00BD1551"/>
    <w:rsid w:val="00BD2176"/>
    <w:rsid w:val="00BD3139"/>
    <w:rsid w:val="00BD5A25"/>
    <w:rsid w:val="00BD5AC6"/>
    <w:rsid w:val="00BD5ADC"/>
    <w:rsid w:val="00BD5B64"/>
    <w:rsid w:val="00BD7FB9"/>
    <w:rsid w:val="00BE264C"/>
    <w:rsid w:val="00BE2809"/>
    <w:rsid w:val="00BE32ED"/>
    <w:rsid w:val="00BE4095"/>
    <w:rsid w:val="00BE49CF"/>
    <w:rsid w:val="00BE52F7"/>
    <w:rsid w:val="00BF1431"/>
    <w:rsid w:val="00BF18CB"/>
    <w:rsid w:val="00BF2655"/>
    <w:rsid w:val="00BF2A66"/>
    <w:rsid w:val="00BF3A63"/>
    <w:rsid w:val="00BF3C78"/>
    <w:rsid w:val="00BF5664"/>
    <w:rsid w:val="00BF6F84"/>
    <w:rsid w:val="00BF73B1"/>
    <w:rsid w:val="00C00A8F"/>
    <w:rsid w:val="00C01991"/>
    <w:rsid w:val="00C03DF9"/>
    <w:rsid w:val="00C05222"/>
    <w:rsid w:val="00C06909"/>
    <w:rsid w:val="00C07D23"/>
    <w:rsid w:val="00C1103E"/>
    <w:rsid w:val="00C14795"/>
    <w:rsid w:val="00C15DAE"/>
    <w:rsid w:val="00C172BD"/>
    <w:rsid w:val="00C2057A"/>
    <w:rsid w:val="00C222E0"/>
    <w:rsid w:val="00C252C1"/>
    <w:rsid w:val="00C253B7"/>
    <w:rsid w:val="00C25791"/>
    <w:rsid w:val="00C2690B"/>
    <w:rsid w:val="00C26AAD"/>
    <w:rsid w:val="00C26C77"/>
    <w:rsid w:val="00C270F2"/>
    <w:rsid w:val="00C27D7B"/>
    <w:rsid w:val="00C332FD"/>
    <w:rsid w:val="00C33E95"/>
    <w:rsid w:val="00C375E4"/>
    <w:rsid w:val="00C40AEA"/>
    <w:rsid w:val="00C41319"/>
    <w:rsid w:val="00C42692"/>
    <w:rsid w:val="00C429BC"/>
    <w:rsid w:val="00C4307D"/>
    <w:rsid w:val="00C43F81"/>
    <w:rsid w:val="00C45A78"/>
    <w:rsid w:val="00C46192"/>
    <w:rsid w:val="00C50104"/>
    <w:rsid w:val="00C507A4"/>
    <w:rsid w:val="00C50DE3"/>
    <w:rsid w:val="00C51AA0"/>
    <w:rsid w:val="00C53237"/>
    <w:rsid w:val="00C53B46"/>
    <w:rsid w:val="00C5459B"/>
    <w:rsid w:val="00C556E4"/>
    <w:rsid w:val="00C573D0"/>
    <w:rsid w:val="00C60802"/>
    <w:rsid w:val="00C60F54"/>
    <w:rsid w:val="00C615E1"/>
    <w:rsid w:val="00C61923"/>
    <w:rsid w:val="00C61BF3"/>
    <w:rsid w:val="00C64E9C"/>
    <w:rsid w:val="00C67D24"/>
    <w:rsid w:val="00C72AE6"/>
    <w:rsid w:val="00C73416"/>
    <w:rsid w:val="00C742C8"/>
    <w:rsid w:val="00C757D2"/>
    <w:rsid w:val="00C75B5C"/>
    <w:rsid w:val="00C771F0"/>
    <w:rsid w:val="00C802E9"/>
    <w:rsid w:val="00C8086F"/>
    <w:rsid w:val="00C8288B"/>
    <w:rsid w:val="00C82C19"/>
    <w:rsid w:val="00C855A3"/>
    <w:rsid w:val="00C878AC"/>
    <w:rsid w:val="00C92473"/>
    <w:rsid w:val="00C9320D"/>
    <w:rsid w:val="00C94F93"/>
    <w:rsid w:val="00C95EE8"/>
    <w:rsid w:val="00C967CC"/>
    <w:rsid w:val="00C96D0F"/>
    <w:rsid w:val="00C96EC3"/>
    <w:rsid w:val="00CA3514"/>
    <w:rsid w:val="00CA38A6"/>
    <w:rsid w:val="00CA3D71"/>
    <w:rsid w:val="00CA55FF"/>
    <w:rsid w:val="00CA6FCC"/>
    <w:rsid w:val="00CB0582"/>
    <w:rsid w:val="00CB0F8C"/>
    <w:rsid w:val="00CB272A"/>
    <w:rsid w:val="00CB2C38"/>
    <w:rsid w:val="00CB2E8E"/>
    <w:rsid w:val="00CB38E1"/>
    <w:rsid w:val="00CB5342"/>
    <w:rsid w:val="00CB562F"/>
    <w:rsid w:val="00CB5C00"/>
    <w:rsid w:val="00CB6A36"/>
    <w:rsid w:val="00CB6DA8"/>
    <w:rsid w:val="00CB72E3"/>
    <w:rsid w:val="00CC02CC"/>
    <w:rsid w:val="00CC1E4B"/>
    <w:rsid w:val="00CC33C5"/>
    <w:rsid w:val="00CC3E3B"/>
    <w:rsid w:val="00CC40B9"/>
    <w:rsid w:val="00CC499A"/>
    <w:rsid w:val="00CC6123"/>
    <w:rsid w:val="00CC6630"/>
    <w:rsid w:val="00CC68EE"/>
    <w:rsid w:val="00CC7518"/>
    <w:rsid w:val="00CC78B4"/>
    <w:rsid w:val="00CD16A2"/>
    <w:rsid w:val="00CD20FC"/>
    <w:rsid w:val="00CD31C1"/>
    <w:rsid w:val="00CD50C5"/>
    <w:rsid w:val="00CD5EB8"/>
    <w:rsid w:val="00CE2FAD"/>
    <w:rsid w:val="00CE3A2F"/>
    <w:rsid w:val="00CE4AED"/>
    <w:rsid w:val="00CE4E8A"/>
    <w:rsid w:val="00CE567B"/>
    <w:rsid w:val="00CE6829"/>
    <w:rsid w:val="00CE765B"/>
    <w:rsid w:val="00CF046E"/>
    <w:rsid w:val="00CF19E1"/>
    <w:rsid w:val="00CF3FB0"/>
    <w:rsid w:val="00CF79EC"/>
    <w:rsid w:val="00D02259"/>
    <w:rsid w:val="00D05C97"/>
    <w:rsid w:val="00D1017D"/>
    <w:rsid w:val="00D102AF"/>
    <w:rsid w:val="00D1076D"/>
    <w:rsid w:val="00D13ABF"/>
    <w:rsid w:val="00D14C44"/>
    <w:rsid w:val="00D17B42"/>
    <w:rsid w:val="00D17C99"/>
    <w:rsid w:val="00D22A8D"/>
    <w:rsid w:val="00D31CE5"/>
    <w:rsid w:val="00D32010"/>
    <w:rsid w:val="00D322F3"/>
    <w:rsid w:val="00D34F05"/>
    <w:rsid w:val="00D352F3"/>
    <w:rsid w:val="00D37462"/>
    <w:rsid w:val="00D37BA3"/>
    <w:rsid w:val="00D406BA"/>
    <w:rsid w:val="00D41A69"/>
    <w:rsid w:val="00D42863"/>
    <w:rsid w:val="00D45AD9"/>
    <w:rsid w:val="00D45DB8"/>
    <w:rsid w:val="00D46E9A"/>
    <w:rsid w:val="00D47E43"/>
    <w:rsid w:val="00D47E96"/>
    <w:rsid w:val="00D50094"/>
    <w:rsid w:val="00D53D19"/>
    <w:rsid w:val="00D54344"/>
    <w:rsid w:val="00D5500C"/>
    <w:rsid w:val="00D57A72"/>
    <w:rsid w:val="00D653D3"/>
    <w:rsid w:val="00D656CC"/>
    <w:rsid w:val="00D70963"/>
    <w:rsid w:val="00D726B4"/>
    <w:rsid w:val="00D7274D"/>
    <w:rsid w:val="00D741D9"/>
    <w:rsid w:val="00D746A0"/>
    <w:rsid w:val="00D752D0"/>
    <w:rsid w:val="00D76862"/>
    <w:rsid w:val="00D7750E"/>
    <w:rsid w:val="00D80C05"/>
    <w:rsid w:val="00D81AAB"/>
    <w:rsid w:val="00D8297C"/>
    <w:rsid w:val="00D848DA"/>
    <w:rsid w:val="00D87C83"/>
    <w:rsid w:val="00D918AC"/>
    <w:rsid w:val="00D91F6A"/>
    <w:rsid w:val="00D92185"/>
    <w:rsid w:val="00D93794"/>
    <w:rsid w:val="00D94644"/>
    <w:rsid w:val="00D94931"/>
    <w:rsid w:val="00D95450"/>
    <w:rsid w:val="00D95460"/>
    <w:rsid w:val="00DA05FB"/>
    <w:rsid w:val="00DA0670"/>
    <w:rsid w:val="00DA0D50"/>
    <w:rsid w:val="00DA23C9"/>
    <w:rsid w:val="00DA2B7C"/>
    <w:rsid w:val="00DA38A7"/>
    <w:rsid w:val="00DA5FA8"/>
    <w:rsid w:val="00DA6094"/>
    <w:rsid w:val="00DA6D40"/>
    <w:rsid w:val="00DA70A5"/>
    <w:rsid w:val="00DB2D41"/>
    <w:rsid w:val="00DB52B5"/>
    <w:rsid w:val="00DB7BCD"/>
    <w:rsid w:val="00DC0374"/>
    <w:rsid w:val="00DC08D5"/>
    <w:rsid w:val="00DC204C"/>
    <w:rsid w:val="00DC2271"/>
    <w:rsid w:val="00DC380C"/>
    <w:rsid w:val="00DC4684"/>
    <w:rsid w:val="00DC5DCF"/>
    <w:rsid w:val="00DC5E44"/>
    <w:rsid w:val="00DC66B7"/>
    <w:rsid w:val="00DC6DC2"/>
    <w:rsid w:val="00DC7B6D"/>
    <w:rsid w:val="00DD01FF"/>
    <w:rsid w:val="00DD0267"/>
    <w:rsid w:val="00DD0426"/>
    <w:rsid w:val="00DD2862"/>
    <w:rsid w:val="00DD4AB8"/>
    <w:rsid w:val="00DD4CF9"/>
    <w:rsid w:val="00DD5529"/>
    <w:rsid w:val="00DD57F6"/>
    <w:rsid w:val="00DD5929"/>
    <w:rsid w:val="00DD717B"/>
    <w:rsid w:val="00DD7480"/>
    <w:rsid w:val="00DD7C55"/>
    <w:rsid w:val="00DE07D4"/>
    <w:rsid w:val="00DE0C1F"/>
    <w:rsid w:val="00DE1ED4"/>
    <w:rsid w:val="00DE24E0"/>
    <w:rsid w:val="00DE51E7"/>
    <w:rsid w:val="00DE557E"/>
    <w:rsid w:val="00DE625D"/>
    <w:rsid w:val="00DE6C1A"/>
    <w:rsid w:val="00DE7232"/>
    <w:rsid w:val="00DE77A9"/>
    <w:rsid w:val="00DF0747"/>
    <w:rsid w:val="00DF1D94"/>
    <w:rsid w:val="00DF278C"/>
    <w:rsid w:val="00DF3EDD"/>
    <w:rsid w:val="00DF7074"/>
    <w:rsid w:val="00E0035B"/>
    <w:rsid w:val="00E01D4D"/>
    <w:rsid w:val="00E01F3E"/>
    <w:rsid w:val="00E026BD"/>
    <w:rsid w:val="00E02E25"/>
    <w:rsid w:val="00E05D37"/>
    <w:rsid w:val="00E062A7"/>
    <w:rsid w:val="00E06C5A"/>
    <w:rsid w:val="00E06CF1"/>
    <w:rsid w:val="00E077AF"/>
    <w:rsid w:val="00E1205E"/>
    <w:rsid w:val="00E152F6"/>
    <w:rsid w:val="00E1630C"/>
    <w:rsid w:val="00E170AA"/>
    <w:rsid w:val="00E17CA9"/>
    <w:rsid w:val="00E21828"/>
    <w:rsid w:val="00E21CEE"/>
    <w:rsid w:val="00E21F95"/>
    <w:rsid w:val="00E232E1"/>
    <w:rsid w:val="00E32914"/>
    <w:rsid w:val="00E3379E"/>
    <w:rsid w:val="00E41030"/>
    <w:rsid w:val="00E42535"/>
    <w:rsid w:val="00E4267A"/>
    <w:rsid w:val="00E42FEC"/>
    <w:rsid w:val="00E45889"/>
    <w:rsid w:val="00E458C4"/>
    <w:rsid w:val="00E528B9"/>
    <w:rsid w:val="00E53F87"/>
    <w:rsid w:val="00E5419A"/>
    <w:rsid w:val="00E543F2"/>
    <w:rsid w:val="00E5584D"/>
    <w:rsid w:val="00E5691B"/>
    <w:rsid w:val="00E602FB"/>
    <w:rsid w:val="00E62326"/>
    <w:rsid w:val="00E6398D"/>
    <w:rsid w:val="00E63AA4"/>
    <w:rsid w:val="00E640C0"/>
    <w:rsid w:val="00E667C9"/>
    <w:rsid w:val="00E67939"/>
    <w:rsid w:val="00E715AE"/>
    <w:rsid w:val="00E72720"/>
    <w:rsid w:val="00E734F5"/>
    <w:rsid w:val="00E73DEA"/>
    <w:rsid w:val="00E74E46"/>
    <w:rsid w:val="00E75562"/>
    <w:rsid w:val="00E76B52"/>
    <w:rsid w:val="00E7731B"/>
    <w:rsid w:val="00E8061F"/>
    <w:rsid w:val="00E8314A"/>
    <w:rsid w:val="00E846FF"/>
    <w:rsid w:val="00E85916"/>
    <w:rsid w:val="00E85D46"/>
    <w:rsid w:val="00E90AD8"/>
    <w:rsid w:val="00E90F72"/>
    <w:rsid w:val="00E90FBD"/>
    <w:rsid w:val="00E913A5"/>
    <w:rsid w:val="00E91552"/>
    <w:rsid w:val="00E9428A"/>
    <w:rsid w:val="00E94617"/>
    <w:rsid w:val="00E94E81"/>
    <w:rsid w:val="00E94EB4"/>
    <w:rsid w:val="00E95420"/>
    <w:rsid w:val="00E97B91"/>
    <w:rsid w:val="00EA1400"/>
    <w:rsid w:val="00EA3100"/>
    <w:rsid w:val="00EA3579"/>
    <w:rsid w:val="00EA4379"/>
    <w:rsid w:val="00EA44E8"/>
    <w:rsid w:val="00EA4C1C"/>
    <w:rsid w:val="00EA4D57"/>
    <w:rsid w:val="00EA5E7C"/>
    <w:rsid w:val="00EA7A07"/>
    <w:rsid w:val="00EB1695"/>
    <w:rsid w:val="00EB381D"/>
    <w:rsid w:val="00EB4030"/>
    <w:rsid w:val="00EB415C"/>
    <w:rsid w:val="00EB430F"/>
    <w:rsid w:val="00EB5AD5"/>
    <w:rsid w:val="00EB630F"/>
    <w:rsid w:val="00EC187F"/>
    <w:rsid w:val="00EC1916"/>
    <w:rsid w:val="00EC2191"/>
    <w:rsid w:val="00EC2413"/>
    <w:rsid w:val="00EC263F"/>
    <w:rsid w:val="00ED14F1"/>
    <w:rsid w:val="00ED2D3C"/>
    <w:rsid w:val="00ED55EA"/>
    <w:rsid w:val="00ED6779"/>
    <w:rsid w:val="00ED7506"/>
    <w:rsid w:val="00EE3683"/>
    <w:rsid w:val="00EE3BAE"/>
    <w:rsid w:val="00EE3F6F"/>
    <w:rsid w:val="00EE43FE"/>
    <w:rsid w:val="00EE76C3"/>
    <w:rsid w:val="00EE77C5"/>
    <w:rsid w:val="00EF2BBA"/>
    <w:rsid w:val="00F00A5F"/>
    <w:rsid w:val="00F00E5E"/>
    <w:rsid w:val="00F0217F"/>
    <w:rsid w:val="00F023A9"/>
    <w:rsid w:val="00F03FA8"/>
    <w:rsid w:val="00F041DB"/>
    <w:rsid w:val="00F0466B"/>
    <w:rsid w:val="00F06E47"/>
    <w:rsid w:val="00F1071B"/>
    <w:rsid w:val="00F11F72"/>
    <w:rsid w:val="00F17296"/>
    <w:rsid w:val="00F21DFE"/>
    <w:rsid w:val="00F22A41"/>
    <w:rsid w:val="00F22F44"/>
    <w:rsid w:val="00F23A2B"/>
    <w:rsid w:val="00F23C8E"/>
    <w:rsid w:val="00F241D2"/>
    <w:rsid w:val="00F2516C"/>
    <w:rsid w:val="00F25F79"/>
    <w:rsid w:val="00F265B2"/>
    <w:rsid w:val="00F27080"/>
    <w:rsid w:val="00F274AA"/>
    <w:rsid w:val="00F31D09"/>
    <w:rsid w:val="00F336A9"/>
    <w:rsid w:val="00F343CD"/>
    <w:rsid w:val="00F34AA7"/>
    <w:rsid w:val="00F41FAB"/>
    <w:rsid w:val="00F424C5"/>
    <w:rsid w:val="00F42DF6"/>
    <w:rsid w:val="00F433EC"/>
    <w:rsid w:val="00F43BD4"/>
    <w:rsid w:val="00F440D7"/>
    <w:rsid w:val="00F4586E"/>
    <w:rsid w:val="00F46A44"/>
    <w:rsid w:val="00F5039F"/>
    <w:rsid w:val="00F5097F"/>
    <w:rsid w:val="00F54692"/>
    <w:rsid w:val="00F55E01"/>
    <w:rsid w:val="00F6034F"/>
    <w:rsid w:val="00F60D84"/>
    <w:rsid w:val="00F61053"/>
    <w:rsid w:val="00F6307D"/>
    <w:rsid w:val="00F65F7E"/>
    <w:rsid w:val="00F6780D"/>
    <w:rsid w:val="00F7091D"/>
    <w:rsid w:val="00F713A5"/>
    <w:rsid w:val="00F722B9"/>
    <w:rsid w:val="00F73742"/>
    <w:rsid w:val="00F75DFC"/>
    <w:rsid w:val="00F75F48"/>
    <w:rsid w:val="00F7676B"/>
    <w:rsid w:val="00F76B64"/>
    <w:rsid w:val="00F77BCF"/>
    <w:rsid w:val="00F82204"/>
    <w:rsid w:val="00F8308A"/>
    <w:rsid w:val="00F8322B"/>
    <w:rsid w:val="00F838D6"/>
    <w:rsid w:val="00F83EC3"/>
    <w:rsid w:val="00F83F15"/>
    <w:rsid w:val="00F85770"/>
    <w:rsid w:val="00F865A8"/>
    <w:rsid w:val="00F86F8E"/>
    <w:rsid w:val="00F872D9"/>
    <w:rsid w:val="00F93A0D"/>
    <w:rsid w:val="00F93B2F"/>
    <w:rsid w:val="00F9484F"/>
    <w:rsid w:val="00F9599B"/>
    <w:rsid w:val="00F967B8"/>
    <w:rsid w:val="00F96DED"/>
    <w:rsid w:val="00F96F0A"/>
    <w:rsid w:val="00FA0074"/>
    <w:rsid w:val="00FA0F55"/>
    <w:rsid w:val="00FA515E"/>
    <w:rsid w:val="00FB131A"/>
    <w:rsid w:val="00FB1836"/>
    <w:rsid w:val="00FB53AD"/>
    <w:rsid w:val="00FB5BDE"/>
    <w:rsid w:val="00FC2A04"/>
    <w:rsid w:val="00FC3C74"/>
    <w:rsid w:val="00FC3E4B"/>
    <w:rsid w:val="00FC4C53"/>
    <w:rsid w:val="00FD10B3"/>
    <w:rsid w:val="00FD2B25"/>
    <w:rsid w:val="00FD2C31"/>
    <w:rsid w:val="00FD2E8C"/>
    <w:rsid w:val="00FD543F"/>
    <w:rsid w:val="00FD5C0E"/>
    <w:rsid w:val="00FE6A2F"/>
    <w:rsid w:val="00FE6BD0"/>
    <w:rsid w:val="00FE7CFB"/>
    <w:rsid w:val="00FF0764"/>
    <w:rsid w:val="00FF299C"/>
    <w:rsid w:val="00FF2C76"/>
    <w:rsid w:val="00FF362B"/>
    <w:rsid w:val="00FF400A"/>
    <w:rsid w:val="00FF4D0E"/>
    <w:rsid w:val="00FF61B2"/>
    <w:rsid w:val="00FF6456"/>
    <w:rsid w:val="00FF68FF"/>
    <w:rsid w:val="0BC05664"/>
    <w:rsid w:val="14E2D6C9"/>
    <w:rsid w:val="18E208D5"/>
    <w:rsid w:val="1E02BE2A"/>
    <w:rsid w:val="2A5F424D"/>
    <w:rsid w:val="32028D37"/>
    <w:rsid w:val="35D296FE"/>
    <w:rsid w:val="430FB818"/>
    <w:rsid w:val="438F35AB"/>
    <w:rsid w:val="4859A11F"/>
    <w:rsid w:val="4FA4D93B"/>
    <w:rsid w:val="508E71E9"/>
    <w:rsid w:val="6769F5D8"/>
    <w:rsid w:val="6B87E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09E7"/>
  <w15:chartTrackingRefBased/>
  <w15:docId w15:val="{CE1453A7-DD64-F946-BDD5-F771250F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rFonts w:ascii="Arial" w:hAnsi="Arial" w:cs="Arial"/>
      <w:b/>
      <w:bCs/>
      <w:color w:val="000000" w:themeColor="text1"/>
      <w:sz w:val="36"/>
    </w:rPr>
  </w:style>
  <w:style w:type="paragraph" w:customStyle="1" w:styleId="SubheadingSH">
    <w:name w:val="Sub heading SH"/>
    <w:basedOn w:val="Normal"/>
    <w:autoRedefine/>
    <w:qFormat/>
    <w:rsid w:val="003D5A33"/>
    <w:pPr>
      <w:spacing w:before="240" w:line="259" w:lineRule="auto"/>
      <w:ind w:left="1440" w:hanging="1440"/>
    </w:pPr>
    <w:rPr>
      <w:rFonts w:ascii="Arial" w:hAnsi="Arial" w:cs="Arial"/>
      <w:b/>
      <w:bCs/>
      <w:color w:val="1AA4A0"/>
      <w:sz w:val="28"/>
      <w:szCs w:val="21"/>
    </w:rPr>
  </w:style>
  <w:style w:type="paragraph" w:customStyle="1" w:styleId="AbbreviationtableSH">
    <w:name w:val="Abbreviation table SH"/>
    <w:basedOn w:val="BodytextSH"/>
    <w:qFormat/>
    <w:rsid w:val="006D39BC"/>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rFonts w:eastAsia="Times New Roman" w:cs="Times New Roman"/>
      <w:color w:val="000000" w:themeColor="text1"/>
      <w:kern w:val="0"/>
      <w:sz w:val="18"/>
      <w:u w:color="301159"/>
      <w:lang w:eastAsia="en-AU"/>
      <w14:ligatures w14:val="none"/>
    </w:rPr>
  </w:style>
  <w:style w:type="paragraph" w:customStyle="1" w:styleId="TableheaderrowSH">
    <w:name w:val="Table header row SH"/>
    <w:next w:val="Normal"/>
    <w:autoRedefine/>
    <w:qFormat/>
    <w:rsid w:val="00B24007"/>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autoRedefine/>
    <w:qFormat/>
    <w:rsid w:val="006D39BC"/>
    <w:pPr>
      <w:spacing w:before="120" w:after="120"/>
    </w:pPr>
    <w:rPr>
      <w:color w:val="152775"/>
      <w:kern w:val="0"/>
      <w:u w:color="301159"/>
      <w:lang w:val="en-GB"/>
      <w14:ligatures w14:val="none"/>
    </w:rPr>
  </w:style>
  <w:style w:type="paragraph" w:customStyle="1" w:styleId="BodytextSH">
    <w:name w:val="Body text SH"/>
    <w:autoRedefine/>
    <w:qFormat/>
    <w:rsid w:val="00D918AC"/>
    <w:pPr>
      <w:spacing w:before="120" w:after="120" w:line="259" w:lineRule="auto"/>
    </w:pPr>
    <w:rPr>
      <w:rFonts w:ascii="Arial" w:hAnsi="Arial" w:cs="Arial (Body CS)"/>
      <w:sz w:val="22"/>
    </w:rPr>
  </w:style>
  <w:style w:type="paragraph" w:customStyle="1" w:styleId="TabletextSH">
    <w:name w:val="Table text SH"/>
    <w:autoRedefine/>
    <w:qFormat/>
    <w:rsid w:val="003009E9"/>
    <w:pPr>
      <w:spacing w:after="160" w:line="259" w:lineRule="auto"/>
    </w:pPr>
    <w:rPr>
      <w:rFonts w:ascii="Arial" w:hAnsi="Arial"/>
      <w:i/>
      <w:color w:val="000000" w:themeColor="text1"/>
      <w:sz w:val="22"/>
      <w:szCs w:val="21"/>
    </w:rPr>
  </w:style>
  <w:style w:type="paragraph" w:customStyle="1" w:styleId="FigureTextSH">
    <w:name w:val="Figure Text SH"/>
    <w:autoRedefine/>
    <w:qFormat/>
    <w:rsid w:val="003009E9"/>
    <w:pPr>
      <w:spacing w:before="120" w:after="160" w:line="259" w:lineRule="auto"/>
    </w:pPr>
    <w:rPr>
      <w:rFonts w:ascii="Arial" w:hAnsi="Arial"/>
      <w:i/>
      <w:color w:val="000000" w:themeColor="text1"/>
      <w:sz w:val="20"/>
      <w:szCs w:val="21"/>
    </w:rPr>
  </w:style>
  <w:style w:type="paragraph" w:customStyle="1" w:styleId="Bodytext-emhasisSH">
    <w:name w:val="Body text - emhasis SH"/>
    <w:autoRedefine/>
    <w:qFormat/>
    <w:rsid w:val="0063247C"/>
    <w:pPr>
      <w:spacing w:after="160" w:line="259" w:lineRule="auto"/>
    </w:pPr>
    <w:rPr>
      <w:rFonts w:ascii="Arial" w:hAnsi="Arial" w:cs="Arial (Body CS)"/>
      <w:b/>
      <w:bCs/>
      <w:sz w:val="22"/>
    </w:rPr>
  </w:style>
  <w:style w:type="paragraph" w:customStyle="1" w:styleId="Tableheaderrow-small-SH">
    <w:name w:val="Table header row - small - SH"/>
    <w:autoRedefine/>
    <w:qFormat/>
    <w:rsid w:val="00872540"/>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872540"/>
    <w:pPr>
      <w:spacing w:after="160" w:line="259" w:lineRule="auto"/>
    </w:pPr>
    <w:rPr>
      <w:rFonts w:ascii="Arial" w:eastAsia="Times New Roman" w:hAnsi="Arial" w:cs="Arial"/>
      <w:i/>
      <w:color w:val="000000" w:themeColor="text1"/>
      <w:sz w:val="22"/>
      <w:lang w:eastAsia="en-AU"/>
    </w:rPr>
  </w:style>
  <w:style w:type="paragraph" w:customStyle="1" w:styleId="Heading1SH">
    <w:name w:val="Heading 1 SH"/>
    <w:autoRedefine/>
    <w:qFormat/>
    <w:rsid w:val="0056713B"/>
    <w:pPr>
      <w:spacing w:before="240" w:after="180"/>
    </w:pPr>
    <w:rPr>
      <w:rFonts w:ascii="Arial" w:hAnsi="Arial" w:cs="Arial"/>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ascii="Arial" w:hAnsi="Arial" w:cs="Arial (Body CS)"/>
      <w:b/>
      <w:bCs/>
    </w:rPr>
  </w:style>
  <w:style w:type="paragraph" w:customStyle="1" w:styleId="ThirdlevelheadingSH">
    <w:name w:val="Third level heading SH"/>
    <w:basedOn w:val="Normal"/>
    <w:autoRedefine/>
    <w:qFormat/>
    <w:rsid w:val="0066645C"/>
    <w:pPr>
      <w:spacing w:before="240" w:line="259" w:lineRule="auto"/>
    </w:pPr>
    <w:rPr>
      <w:rFonts w:ascii="Arial" w:hAnsi="Arial" w:cs="Arial"/>
      <w:b/>
      <w:bCs/>
      <w:color w:val="152775"/>
      <w:szCs w:val="20"/>
    </w:rPr>
  </w:style>
  <w:style w:type="paragraph" w:customStyle="1" w:styleId="BodytextwhiteSH">
    <w:name w:val="Body text white SH"/>
    <w:basedOn w:val="Normal"/>
    <w:autoRedefine/>
    <w:qFormat/>
    <w:rsid w:val="0066645C"/>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rFonts w:eastAsia="Times New Roman"/>
      <w:kern w:val="0"/>
      <w:sz w:val="16"/>
      <w:szCs w:val="16"/>
      <w14:ligatures w14:val="none"/>
    </w:rPr>
  </w:style>
  <w:style w:type="paragraph" w:customStyle="1" w:styleId="Bulletinatable-SH">
    <w:name w:val="Bullet in a table - SH"/>
    <w:basedOn w:val="Normal"/>
    <w:rsid w:val="006D39BC"/>
    <w:pPr>
      <w:spacing w:after="200" w:line="276" w:lineRule="auto"/>
    </w:pPr>
    <w:rPr>
      <w:rFonts w:ascii="Arial" w:eastAsia="Times New Roman" w:hAnsi="Arial" w:cs="Arial"/>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rFonts w:eastAsia="Times New Roman"/>
      <w:kern w:val="0"/>
      <w:sz w:val="20"/>
      <w:u w:color="301159"/>
      <w:lang w:val="en-GB"/>
      <w14:ligatures w14:val="none"/>
    </w:rPr>
  </w:style>
  <w:style w:type="paragraph" w:customStyle="1" w:styleId="BulletSH">
    <w:name w:val="Bullet SH"/>
    <w:rsid w:val="00545DF0"/>
    <w:pPr>
      <w:numPr>
        <w:numId w:val="3"/>
      </w:numPr>
      <w:spacing w:before="120" w:after="120" w:line="259" w:lineRule="auto"/>
      <w:contextualSpacing/>
    </w:pPr>
    <w:rPr>
      <w:rFonts w:ascii="Arial" w:hAnsi="Arial" w:cs="Arial"/>
      <w:bCs/>
      <w:color w:val="000000" w:themeColor="text1"/>
      <w:kern w:val="0"/>
      <w:sz w:val="22"/>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rFonts w:eastAsia="Times New Roman"/>
      <w:color w:val="000000" w:themeColor="text1"/>
      <w:kern w:val="0"/>
      <w:u w:val="single" w:color="000000" w:themeColor="text1"/>
      <w:lang w:eastAsia="en-AU"/>
      <w14:ligatures w14:val="none"/>
    </w:rPr>
  </w:style>
  <w:style w:type="paragraph" w:customStyle="1" w:styleId="Indicatortableheader-SH">
    <w:name w:val="Indicator table header - SH"/>
    <w:basedOn w:val="Normal"/>
    <w:rsid w:val="00545DF0"/>
    <w:pPr>
      <w:spacing w:before="120" w:after="120" w:line="259" w:lineRule="auto"/>
    </w:pPr>
    <w:rPr>
      <w:rFonts w:ascii="Arial" w:hAnsi="Arial" w:cs="Arial"/>
      <w:b/>
      <w:bCs/>
      <w:color w:val="000000" w:themeColor="text1"/>
      <w:kern w:val="0"/>
      <w:sz w:val="22"/>
      <w14:ligatures w14:val="none"/>
    </w:rPr>
  </w:style>
  <w:style w:type="paragraph" w:customStyle="1" w:styleId="Indicatortablelist-SH">
    <w:name w:val="Indicator table list - SH"/>
    <w:basedOn w:val="BodytextSH"/>
    <w:rsid w:val="00545DF0"/>
    <w:pPr>
      <w:numPr>
        <w:numId w:val="6"/>
      </w:numPr>
      <w:spacing w:line="240" w:lineRule="auto"/>
    </w:pPr>
    <w:rPr>
      <w:rFonts w:eastAsia="Times New Roman"/>
      <w:color w:val="000000" w:themeColor="text1"/>
      <w:kern w:val="0"/>
      <w:lang w:eastAsia="en-AU"/>
      <w14:ligatures w14:val="none"/>
    </w:r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 w:val="22"/>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color w:val="000000" w:themeColor="text1"/>
      <w:kern w:val="0"/>
      <w:sz w:val="22"/>
      <w:szCs w:val="22"/>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rFonts w:ascii="Arial" w:hAnsi="Arial" w:cs="Arial"/>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rFonts w:eastAsia="Times New Roman"/>
      <w:b/>
      <w:color w:val="FF0000"/>
      <w:kern w:val="0"/>
      <w:lang w:eastAsia="en-AU"/>
      <w14:ligatures w14:val="none"/>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ascii="Arial" w:hAnsi="Arial" w:cstheme="minorHAnsi"/>
      <w:iCs/>
      <w:color w:val="000000" w:themeColor="text1"/>
      <w:kern w:val="0"/>
      <w:sz w:val="22"/>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ascii="Arial" w:eastAsia="Wingdings" w:hAnsi="Arial"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sz w:val="22"/>
      <w14:ligatures w14:val="none"/>
    </w:rPr>
  </w:style>
  <w:style w:type="paragraph" w:customStyle="1" w:styleId="AcronymtableSH">
    <w:name w:val="Acronym table SH"/>
    <w:basedOn w:val="BodytextSH"/>
    <w:qFormat/>
    <w:rsid w:val="006D39BC"/>
    <w:pPr>
      <w:spacing w:before="60" w:line="240" w:lineRule="auto"/>
    </w:pPr>
    <w:rPr>
      <w:rFonts w:eastAsia="Times New Roman" w:cs="Times New Roman"/>
      <w:color w:val="000000" w:themeColor="text1"/>
      <w:kern w:val="0"/>
      <w:lang w:eastAsia="en-AU"/>
      <w14:ligatures w14:val="none"/>
    </w:rPr>
  </w:style>
  <w:style w:type="paragraph" w:customStyle="1" w:styleId="BodytextitalicSH">
    <w:name w:val="Body text italic SH"/>
    <w:basedOn w:val="BodytextSH"/>
    <w:qFormat/>
    <w:rsid w:val="006D39BC"/>
    <w:pPr>
      <w:spacing w:line="240" w:lineRule="auto"/>
    </w:pPr>
    <w:rPr>
      <w:rFonts w:eastAsia="Times New Roman" w:cs="Times New Roman"/>
      <w:i/>
      <w:color w:val="000000" w:themeColor="text1"/>
      <w:kern w:val="0"/>
      <w:lang w:eastAsia="en-AU"/>
      <w14:ligatures w14:val="none"/>
    </w:rPr>
  </w:style>
  <w:style w:type="paragraph" w:customStyle="1" w:styleId="Codingtablecentredcontent-SH">
    <w:name w:val="Coding table centred content - SH"/>
    <w:basedOn w:val="Normal"/>
    <w:qFormat/>
    <w:rsid w:val="006D39BC"/>
    <w:pPr>
      <w:jc w:val="center"/>
    </w:pPr>
    <w:rPr>
      <w:rFonts w:ascii="Arial" w:eastAsia="Times New Roman" w:hAnsi="Arial" w:cs="Calibri"/>
      <w:kern w:val="0"/>
      <w:sz w:val="20"/>
      <w:szCs w:val="16"/>
      <w:lang w:eastAsia="en-AU"/>
      <w14:ligatures w14:val="none"/>
    </w:rPr>
  </w:style>
  <w:style w:type="paragraph" w:customStyle="1" w:styleId="Codingtablecontent-SH">
    <w:name w:val="Coding table content - SH"/>
    <w:basedOn w:val="Normal"/>
    <w:qFormat/>
    <w:rsid w:val="006D39BC"/>
    <w:rPr>
      <w:rFonts w:ascii="Arial" w:eastAsia="Times New Roman" w:hAnsi="Arial" w:cs="Calibri"/>
      <w:kern w:val="0"/>
      <w:sz w:val="20"/>
      <w:lang w:eastAsia="en-AU"/>
      <w14:ligatures w14:val="none"/>
    </w:rPr>
  </w:style>
  <w:style w:type="paragraph" w:customStyle="1" w:styleId="Codingtableheader-SH">
    <w:name w:val="Coding table header - SH"/>
    <w:basedOn w:val="Bodytext-emhasisSH"/>
    <w:qFormat/>
    <w:rsid w:val="006D39BC"/>
    <w:pPr>
      <w:snapToGrid w:val="0"/>
      <w:spacing w:before="60" w:after="60" w:line="240" w:lineRule="auto"/>
      <w:jc w:val="center"/>
    </w:pPr>
    <w:rPr>
      <w:color w:val="000000" w:themeColor="text1"/>
      <w:kern w:val="0"/>
      <w:sz w:val="20"/>
      <w:lang w:val="en-US" w:eastAsia="en-AU"/>
      <w14:ligatures w14:val="none"/>
    </w:rPr>
  </w:style>
  <w:style w:type="paragraph" w:customStyle="1" w:styleId="Condensedtextfortable-SH">
    <w:name w:val="Condensed text for table - SH"/>
    <w:basedOn w:val="BodytextSH"/>
    <w:qFormat/>
    <w:rsid w:val="006D39BC"/>
    <w:pPr>
      <w:spacing w:before="60" w:after="60" w:line="240" w:lineRule="auto"/>
    </w:pPr>
    <w:rPr>
      <w:rFonts w:eastAsia="Times New Roman" w:cs="Times New Roman"/>
      <w:color w:val="000000" w:themeColor="text1"/>
      <w:kern w:val="0"/>
      <w:sz w:val="18"/>
      <w:szCs w:val="18"/>
      <w:lang w:eastAsia="en-AU"/>
      <w14:ligatures w14:val="none"/>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ascii="Arial" w:eastAsia="Times New Roman" w:hAnsi="Arial" w:cs="Arial"/>
      <w:b/>
      <w:bCs/>
      <w:color w:val="000000" w:themeColor="text1"/>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ascii="Arial" w:eastAsia="Times New Roman" w:hAnsi="Arial" w:cs="Times New Roman"/>
      <w:color w:val="000000" w:themeColor="text1"/>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rFonts w:eastAsia="Times New Roman" w:cs="Times New Roman"/>
      <w:color w:val="000000" w:themeColor="text1"/>
      <w:kern w:val="0"/>
      <w:sz w:val="21"/>
      <w:szCs w:val="22"/>
      <w:lang w:eastAsia="en-AU"/>
      <w14:ligatures w14:val="none"/>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character" w:styleId="Strong">
    <w:name w:val="Strong"/>
    <w:basedOn w:val="DefaultParagraphFont"/>
    <w:uiPriority w:val="22"/>
    <w:qFormat/>
    <w:rsid w:val="00877556"/>
    <w:rPr>
      <w:b/>
      <w:bCs/>
    </w:rPr>
  </w:style>
  <w:style w:type="paragraph" w:styleId="Revision">
    <w:name w:val="Revision"/>
    <w:hidden/>
    <w:uiPriority w:val="99"/>
    <w:semiHidden/>
    <w:rsid w:val="00E602FB"/>
  </w:style>
  <w:style w:type="character" w:customStyle="1" w:styleId="cf01">
    <w:name w:val="cf01"/>
    <w:basedOn w:val="DefaultParagraphFont"/>
    <w:rsid w:val="00D752D0"/>
    <w:rPr>
      <w:rFonts w:ascii="Segoe UI" w:hAnsi="Segoe UI" w:cs="Segoe UI" w:hint="default"/>
      <w:sz w:val="18"/>
      <w:szCs w:val="18"/>
    </w:rPr>
  </w:style>
  <w:style w:type="character" w:customStyle="1" w:styleId="eop">
    <w:name w:val="eop"/>
    <w:basedOn w:val="DefaultParagraphFont"/>
    <w:rsid w:val="00287DB9"/>
  </w:style>
  <w:style w:type="character" w:styleId="Mention">
    <w:name w:val="Mention"/>
    <w:basedOn w:val="DefaultParagraphFont"/>
    <w:uiPriority w:val="99"/>
    <w:unhideWhenUsed/>
    <w:rsid w:val="00F5097F"/>
    <w:rPr>
      <w:color w:val="2B579A"/>
      <w:shd w:val="clear" w:color="auto" w:fill="E1DFDD"/>
    </w:rPr>
  </w:style>
  <w:style w:type="paragraph" w:styleId="NormalWeb">
    <w:name w:val="Normal (Web)"/>
    <w:basedOn w:val="Normal"/>
    <w:uiPriority w:val="99"/>
    <w:semiHidden/>
    <w:unhideWhenUsed/>
    <w:rsid w:val="00BF3A63"/>
    <w:pPr>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wacimagecontainer">
    <w:name w:val="wacimagecontainer"/>
    <w:basedOn w:val="DefaultParagraphFont"/>
    <w:rsid w:val="00FF68FF"/>
  </w:style>
  <w:style w:type="table" w:styleId="TableGrid">
    <w:name w:val="Table Grid"/>
    <w:basedOn w:val="TableNormal"/>
    <w:uiPriority w:val="39"/>
    <w:rsid w:val="0038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72824">
      <w:bodyDiv w:val="1"/>
      <w:marLeft w:val="0"/>
      <w:marRight w:val="0"/>
      <w:marTop w:val="0"/>
      <w:marBottom w:val="0"/>
      <w:divBdr>
        <w:top w:val="none" w:sz="0" w:space="0" w:color="auto"/>
        <w:left w:val="none" w:sz="0" w:space="0" w:color="auto"/>
        <w:bottom w:val="none" w:sz="0" w:space="0" w:color="auto"/>
        <w:right w:val="none" w:sz="0" w:space="0" w:color="auto"/>
      </w:divBdr>
    </w:div>
    <w:div w:id="607813168">
      <w:bodyDiv w:val="1"/>
      <w:marLeft w:val="0"/>
      <w:marRight w:val="0"/>
      <w:marTop w:val="0"/>
      <w:marBottom w:val="0"/>
      <w:divBdr>
        <w:top w:val="none" w:sz="0" w:space="0" w:color="auto"/>
        <w:left w:val="none" w:sz="0" w:space="0" w:color="auto"/>
        <w:bottom w:val="none" w:sz="0" w:space="0" w:color="auto"/>
        <w:right w:val="none" w:sz="0" w:space="0" w:color="auto"/>
      </w:divBdr>
    </w:div>
    <w:div w:id="1182358114">
      <w:bodyDiv w:val="1"/>
      <w:marLeft w:val="0"/>
      <w:marRight w:val="0"/>
      <w:marTop w:val="0"/>
      <w:marBottom w:val="0"/>
      <w:divBdr>
        <w:top w:val="none" w:sz="0" w:space="0" w:color="auto"/>
        <w:left w:val="none" w:sz="0" w:space="0" w:color="auto"/>
        <w:bottom w:val="none" w:sz="0" w:space="0" w:color="auto"/>
        <w:right w:val="none" w:sz="0" w:space="0" w:color="auto"/>
      </w:divBdr>
    </w:div>
    <w:div w:id="1294991994">
      <w:bodyDiv w:val="1"/>
      <w:marLeft w:val="0"/>
      <w:marRight w:val="0"/>
      <w:marTop w:val="0"/>
      <w:marBottom w:val="0"/>
      <w:divBdr>
        <w:top w:val="none" w:sz="0" w:space="0" w:color="auto"/>
        <w:left w:val="none" w:sz="0" w:space="0" w:color="auto"/>
        <w:bottom w:val="none" w:sz="0" w:space="0" w:color="auto"/>
        <w:right w:val="none" w:sz="0" w:space="0" w:color="auto"/>
      </w:divBdr>
    </w:div>
    <w:div w:id="1529296518">
      <w:bodyDiv w:val="1"/>
      <w:marLeft w:val="0"/>
      <w:marRight w:val="0"/>
      <w:marTop w:val="0"/>
      <w:marBottom w:val="0"/>
      <w:divBdr>
        <w:top w:val="none" w:sz="0" w:space="0" w:color="auto"/>
        <w:left w:val="none" w:sz="0" w:space="0" w:color="auto"/>
        <w:bottom w:val="none" w:sz="0" w:space="0" w:color="auto"/>
        <w:right w:val="none" w:sz="0" w:space="0" w:color="auto"/>
      </w:divBdr>
    </w:div>
    <w:div w:id="1797522225">
      <w:bodyDiv w:val="1"/>
      <w:marLeft w:val="0"/>
      <w:marRight w:val="0"/>
      <w:marTop w:val="0"/>
      <w:marBottom w:val="0"/>
      <w:divBdr>
        <w:top w:val="none" w:sz="0" w:space="0" w:color="auto"/>
        <w:left w:val="none" w:sz="0" w:space="0" w:color="auto"/>
        <w:bottom w:val="none" w:sz="0" w:space="0" w:color="auto"/>
        <w:right w:val="none" w:sz="0" w:space="0" w:color="auto"/>
      </w:divBdr>
    </w:div>
    <w:div w:id="1887637355">
      <w:bodyDiv w:val="1"/>
      <w:marLeft w:val="0"/>
      <w:marRight w:val="0"/>
      <w:marTop w:val="0"/>
      <w:marBottom w:val="0"/>
      <w:divBdr>
        <w:top w:val="none" w:sz="0" w:space="0" w:color="auto"/>
        <w:left w:val="none" w:sz="0" w:space="0" w:color="auto"/>
        <w:bottom w:val="none" w:sz="0" w:space="0" w:color="auto"/>
        <w:right w:val="none" w:sz="0" w:space="0" w:color="auto"/>
      </w:divBdr>
    </w:div>
    <w:div w:id="1965185150">
      <w:bodyDiv w:val="1"/>
      <w:marLeft w:val="0"/>
      <w:marRight w:val="0"/>
      <w:marTop w:val="0"/>
      <w:marBottom w:val="0"/>
      <w:divBdr>
        <w:top w:val="none" w:sz="0" w:space="0" w:color="auto"/>
        <w:left w:val="none" w:sz="0" w:space="0" w:color="auto"/>
        <w:bottom w:val="none" w:sz="0" w:space="0" w:color="auto"/>
        <w:right w:val="none" w:sz="0" w:space="0" w:color="auto"/>
      </w:divBdr>
    </w:div>
    <w:div w:id="20550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ataportal.health.gov.au/wps/portal/dataportalcontent/usersupport/userhelpihdr/!ut/p/z1/nZHNUoMwFEZfxS66zOTyW1hi6wilWDtaKdl0AqQlDgQKabU-vcE6jhtxNLtvcnLz5QQTvMFE0BPfU8lrQUuVE2JvrSAMwAQ9hGhmguda1sq1AnDCCY4_APhheYDJ8PknTDBpMp7jBAw7ZxpoyN3RDJnM0RAFg6HUNtPMSVOapU5PZ0I2ssBJTiVt6lbS8iqrhWRCjqE7d5JVYzh2rO2OTb99CQUrG17k7WfhgUZk-D1xX2EYSdQVk622nII_N2GxfDQtWMFKv5n5GoCuZpw4e8FrUbeVcvzwRwU-4PlvWtW_6W00jfZqMpUF4mJX4803K5fwZUXx_PlwIJ7S27t8VcD__DbVunKMMxJv13foNr5feKPRO3o3sRg!/dz/d5/L2dBISEvZ0FBIS9nQSE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vinghealth.au/specifications" TargetMode="External"/><Relationship Id="rId5" Type="http://schemas.openxmlformats.org/officeDocument/2006/relationships/styles" Target="styles.xml"/><Relationship Id="rId15" Type="http://schemas.openxmlformats.org/officeDocument/2006/relationships/hyperlink" Target="https://www.solvinghealth.au/scorecard"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lvinghealth.au/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7aaca95015d586e46a8cb7140dabbf1b">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e631f7b37582b2fa9fc52e76e0651dd2"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C75CD-4329-48F0-AD4D-1341BE07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3.xml><?xml version="1.0" encoding="utf-8"?>
<ds:datastoreItem xmlns:ds="http://schemas.openxmlformats.org/officeDocument/2006/customXml" ds:itemID="{D767303F-5453-415A-97BB-24470AE2F735}">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147b53b7-e685-4566-9d7c-b596e8f31032"/>
    <ds:schemaRef ds:uri="http://purl.org/dc/dcmitype/"/>
    <ds:schemaRef ds:uri="8b623f03-e0b9-4a3d-870d-1dbcb4637e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article_nKPI data limitations_BP-fina</dc:title>
  <dc:subject/>
  <cp:keywords/>
  <dc:description/>
  <cp:revision>6</cp:revision>
  <dcterms:created xsi:type="dcterms:W3CDTF">2025-07-29T05:22:00Z</dcterms:created>
  <dcterms:modified xsi:type="dcterms:W3CDTF">2025-07-29T05:26:00Z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