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1CA9FE75" w:rsidR="002B5DB3" w:rsidRDefault="00025970" w:rsidP="002B5DB3">
      <w:r>
        <w:rPr>
          <w:noProof/>
        </w:rPr>
        <w:drawing>
          <wp:inline distT="0" distB="0" distL="0" distR="0" wp14:anchorId="60665A30" wp14:editId="698EFDF5">
            <wp:extent cx="4381500" cy="1333500"/>
            <wp:effectExtent l="0" t="0" r="0" b="0"/>
            <wp:docPr id="1694881612"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81612" name="Picture 1" descr="Australian Government Department of Health, Disability and Age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20CFA9A0" w14:textId="77777777" w:rsidR="002B5DB3" w:rsidRDefault="002B5DB3" w:rsidP="002B5DB3"/>
    <w:p w14:paraId="14B8BB51" w14:textId="77777777" w:rsidR="002B5DB3" w:rsidRDefault="002B5DB3" w:rsidP="002B5DB3"/>
    <w:p w14:paraId="4FC81871" w14:textId="77777777" w:rsidR="002B5DB3" w:rsidRDefault="002B5DB3" w:rsidP="002B5DB3"/>
    <w:p w14:paraId="381D4A87" w14:textId="28947E87" w:rsidR="002B5DB3" w:rsidRPr="00EF7331" w:rsidRDefault="00E12D4E" w:rsidP="002B5DB3">
      <w:pPr>
        <w:pStyle w:val="TitlePage1SH"/>
        <w:rPr>
          <w:sz w:val="48"/>
          <w:szCs w:val="36"/>
        </w:rPr>
      </w:pPr>
      <w:r>
        <w:rPr>
          <w:sz w:val="48"/>
          <w:szCs w:val="36"/>
        </w:rPr>
        <w:t>First Nations Health Reporting</w:t>
      </w:r>
      <w:r w:rsidR="002F5D71">
        <w:rPr>
          <w:sz w:val="48"/>
          <w:szCs w:val="36"/>
        </w:rPr>
        <w:t>:</w:t>
      </w:r>
    </w:p>
    <w:p w14:paraId="56C0E905" w14:textId="26AE4FD0" w:rsidR="002B5DB3" w:rsidRPr="00EF7331" w:rsidRDefault="00D651F6" w:rsidP="002B5DB3">
      <w:pPr>
        <w:pStyle w:val="TitlePage2SH"/>
        <w:pBdr>
          <w:bottom w:val="single" w:sz="24" w:space="1" w:color="0C2340"/>
        </w:pBdr>
        <w:spacing w:after="0"/>
        <w:rPr>
          <w:sz w:val="48"/>
          <w:szCs w:val="36"/>
        </w:rPr>
      </w:pPr>
      <w:r>
        <w:rPr>
          <w:sz w:val="48"/>
          <w:szCs w:val="36"/>
        </w:rPr>
        <w:t>PI26 – Ear Health</w:t>
      </w:r>
      <w:r w:rsidR="00C67B58">
        <w:rPr>
          <w:sz w:val="48"/>
          <w:szCs w:val="36"/>
        </w:rPr>
        <w:t xml:space="preserve"> </w:t>
      </w:r>
      <w:r w:rsidR="00C74A83">
        <w:rPr>
          <w:sz w:val="48"/>
          <w:szCs w:val="36"/>
        </w:rPr>
        <w:t>Check</w:t>
      </w:r>
      <w:r w:rsidR="00C91DCD">
        <w:rPr>
          <w:sz w:val="48"/>
          <w:szCs w:val="36"/>
        </w:rPr>
        <w:t xml:space="preserve"> </w:t>
      </w:r>
      <w:r w:rsidR="0036557B">
        <w:rPr>
          <w:sz w:val="48"/>
          <w:szCs w:val="36"/>
        </w:rPr>
        <w:t>- Communicare</w:t>
      </w:r>
    </w:p>
    <w:p w14:paraId="41B845B3" w14:textId="77777777" w:rsidR="002B5DB3" w:rsidRPr="00B45936" w:rsidRDefault="002B5DB3" w:rsidP="002B5DB3">
      <w:pPr>
        <w:pStyle w:val="TitlePage2SH"/>
        <w:pBdr>
          <w:bottom w:val="single" w:sz="24" w:space="1" w:color="0C2340"/>
        </w:pBdr>
        <w:spacing w:before="120" w:after="0"/>
        <w:rPr>
          <w:sz w:val="21"/>
          <w:szCs w:val="16"/>
        </w:rPr>
      </w:pPr>
    </w:p>
    <w:p w14:paraId="5556B88C" w14:textId="77777777" w:rsidR="002B5DB3" w:rsidRPr="00CD0966" w:rsidRDefault="002B5DB3" w:rsidP="002B5DB3"/>
    <w:p w14:paraId="7AF2A880" w14:textId="77777777" w:rsidR="002B5DB3" w:rsidRPr="008C54F9" w:rsidRDefault="002B5DB3" w:rsidP="002B5DB3">
      <w:pPr>
        <w:pStyle w:val="Heading1SH"/>
      </w:pPr>
      <w:r>
        <w:t>Introduction</w:t>
      </w:r>
    </w:p>
    <w:p w14:paraId="3F232CA5" w14:textId="4520950D" w:rsidR="00EA78CD" w:rsidRDefault="001A27C6" w:rsidP="00EA78CD">
      <w:pPr>
        <w:pStyle w:val="BodytextSH"/>
      </w:pPr>
      <w:r>
        <w:t xml:space="preserve">First Nations people have a high prevalence of otitis media and hearing problems. </w:t>
      </w:r>
      <w:r w:rsidR="00EA78CD">
        <w:t>The ‘</w:t>
      </w:r>
      <w:r w:rsidR="00EA78CD" w:rsidRPr="00EA78CD">
        <w:rPr>
          <w:i/>
          <w:iCs/>
        </w:rPr>
        <w:t>National guide to preventative healthcare for Aboriginal and Torres Strait Islander people’</w:t>
      </w:r>
      <w:r w:rsidR="00EA78CD">
        <w:t xml:space="preserve"> recommends regular ear and hearing health checks for the early diagnosis and management of ear problems.</w:t>
      </w:r>
    </w:p>
    <w:p w14:paraId="6D428222" w14:textId="1FAF3AE0" w:rsidR="00445180" w:rsidRDefault="0077427C" w:rsidP="00BD04B9">
      <w:pPr>
        <w:pStyle w:val="BodytextSH"/>
      </w:pPr>
      <w:r w:rsidRPr="00F46FE0">
        <w:t xml:space="preserve">PI26 is </w:t>
      </w:r>
      <w:r w:rsidR="0033331B">
        <w:t>currently a pilot</w:t>
      </w:r>
      <w:r w:rsidRPr="00F46FE0">
        <w:t xml:space="preserve"> </w:t>
      </w:r>
      <w:r w:rsidR="00BF7502">
        <w:t>National Key Performance I</w:t>
      </w:r>
      <w:r w:rsidRPr="00F46FE0">
        <w:t xml:space="preserve">ndicator </w:t>
      </w:r>
      <w:r w:rsidR="00BF7502">
        <w:t xml:space="preserve">(nKPI) </w:t>
      </w:r>
      <w:r w:rsidRPr="00F46FE0">
        <w:t xml:space="preserve">designed to </w:t>
      </w:r>
      <w:r w:rsidR="004B6742">
        <w:t xml:space="preserve">measure </w:t>
      </w:r>
      <w:r w:rsidRPr="00F46FE0">
        <w:t xml:space="preserve">regular </w:t>
      </w:r>
      <w:r w:rsidR="004B6742">
        <w:t xml:space="preserve">comprehensive </w:t>
      </w:r>
      <w:r w:rsidRPr="00F46FE0">
        <w:t>screening of ear health</w:t>
      </w:r>
      <w:r w:rsidR="008A68E0">
        <w:t xml:space="preserve"> in children</w:t>
      </w:r>
      <w:r w:rsidR="00C241A8">
        <w:t>.</w:t>
      </w:r>
      <w:r w:rsidRPr="00F46FE0">
        <w:t xml:space="preserve"> </w:t>
      </w:r>
      <w:r w:rsidR="00C241A8">
        <w:t xml:space="preserve">It </w:t>
      </w:r>
      <w:r>
        <w:t>particular</w:t>
      </w:r>
      <w:r w:rsidR="00E43DC6">
        <w:t>ly</w:t>
      </w:r>
      <w:r>
        <w:t xml:space="preserve"> focus</w:t>
      </w:r>
      <w:r w:rsidR="00E43DC6">
        <w:t>es</w:t>
      </w:r>
      <w:r w:rsidRPr="00F46FE0">
        <w:t xml:space="preserve"> on</w:t>
      </w:r>
      <w:r w:rsidR="00445180" w:rsidRPr="00445180">
        <w:t xml:space="preserve"> </w:t>
      </w:r>
      <w:r w:rsidR="00445180">
        <w:t xml:space="preserve">assessment of </w:t>
      </w:r>
      <w:r w:rsidR="00445180" w:rsidRPr="00F46FE0">
        <w:t>the</w:t>
      </w:r>
      <w:r w:rsidR="00445180">
        <w:t>:</w:t>
      </w:r>
    </w:p>
    <w:p w14:paraId="674E8A84" w14:textId="5D583C6B" w:rsidR="00445180" w:rsidRDefault="00445180" w:rsidP="00445180">
      <w:pPr>
        <w:pStyle w:val="BulletSH"/>
      </w:pPr>
      <w:r>
        <w:t>A</w:t>
      </w:r>
      <w:r w:rsidR="0077427C" w:rsidRPr="00F46FE0">
        <w:t xml:space="preserve">ppearance of the ear canals and ear drums, </w:t>
      </w:r>
      <w:r>
        <w:t>of both ears, and</w:t>
      </w:r>
    </w:p>
    <w:p w14:paraId="2AC10169" w14:textId="5D8EE7DF" w:rsidR="00BF7502" w:rsidRDefault="00445180" w:rsidP="00445180">
      <w:pPr>
        <w:pStyle w:val="BulletSH"/>
      </w:pPr>
      <w:r>
        <w:t>M</w:t>
      </w:r>
      <w:r w:rsidR="0077427C" w:rsidRPr="00F46FE0">
        <w:t>ovement of the ear drums</w:t>
      </w:r>
      <w:r w:rsidR="0000629A">
        <w:t>,</w:t>
      </w:r>
      <w:r w:rsidR="00EC2FF0">
        <w:t xml:space="preserve"> of both ears</w:t>
      </w:r>
      <w:r w:rsidR="0077427C">
        <w:t>.</w:t>
      </w:r>
      <w:r w:rsidR="0077427C" w:rsidRPr="00F46FE0">
        <w:t xml:space="preserve"> </w:t>
      </w:r>
    </w:p>
    <w:p w14:paraId="19E269F0" w14:textId="30667F76" w:rsidR="00134F14" w:rsidRDefault="00DD5EFA" w:rsidP="00BD04B9">
      <w:pPr>
        <w:pStyle w:val="BodytextSH"/>
      </w:pPr>
      <w:r>
        <w:t xml:space="preserve">While the </w:t>
      </w:r>
      <w:r w:rsidR="004B6742">
        <w:t xml:space="preserve">indicator’s </w:t>
      </w:r>
      <w:r>
        <w:t>inclusion criteria are relatively straightforward, the complexity lies in</w:t>
      </w:r>
      <w:r w:rsidR="00DD0554">
        <w:t xml:space="preserve"> sourcing the relevant data</w:t>
      </w:r>
      <w:r w:rsidR="00C54D78">
        <w:t xml:space="preserve"> from multiple locations</w:t>
      </w:r>
      <w:r w:rsidR="00544CD7">
        <w:t xml:space="preserve"> within the clinical information system (CIS), and in understanding the priority rules for </w:t>
      </w:r>
      <w:r w:rsidR="004B6742">
        <w:t>counting</w:t>
      </w:r>
      <w:r w:rsidR="00544CD7">
        <w:t xml:space="preserve"> that data.</w:t>
      </w:r>
      <w:r w:rsidR="0077427C">
        <w:t xml:space="preserve"> </w:t>
      </w:r>
    </w:p>
    <w:p w14:paraId="01CB48BF" w14:textId="0CBE52F1" w:rsidR="002B5DB3" w:rsidRPr="00F46FE0" w:rsidRDefault="00134F14" w:rsidP="00BD04B9">
      <w:pPr>
        <w:pStyle w:val="BodytextSH"/>
      </w:pPr>
      <w:r>
        <w:t>Th</w:t>
      </w:r>
      <w:r w:rsidR="00432741">
        <w:t xml:space="preserve">is article </w:t>
      </w:r>
      <w:r w:rsidR="004B6742">
        <w:t xml:space="preserve">explains the reporting rules to help health services better understand the reported data. It also outlines </w:t>
      </w:r>
      <w:r w:rsidR="00432741">
        <w:t>where to record ear health</w:t>
      </w:r>
      <w:r w:rsidR="004B6742">
        <w:t xml:space="preserve"> checks</w:t>
      </w:r>
      <w:r w:rsidR="00432741">
        <w:t xml:space="preserve"> in the CIS so that</w:t>
      </w:r>
      <w:r w:rsidR="004B6742">
        <w:t xml:space="preserve"> health services’ activities are </w:t>
      </w:r>
      <w:r w:rsidR="00432741">
        <w:t>accurately</w:t>
      </w:r>
      <w:r w:rsidR="00BB6A85">
        <w:t xml:space="preserve"> counted </w:t>
      </w:r>
      <w:r w:rsidR="004B6742">
        <w:t>and reflected in their nKPI report</w:t>
      </w:r>
      <w:r w:rsidR="00BB6A85">
        <w:t>.</w:t>
      </w:r>
    </w:p>
    <w:p w14:paraId="4E00FA67" w14:textId="27286FC9" w:rsidR="002B5DB3" w:rsidRDefault="002B5DB3" w:rsidP="002B5DB3">
      <w:pPr>
        <w:pStyle w:val="Heading1SH"/>
      </w:pPr>
      <w:r>
        <w:t>What’s happening</w:t>
      </w:r>
      <w:r w:rsidR="00FD2C31">
        <w:t xml:space="preserve"> / context</w:t>
      </w:r>
    </w:p>
    <w:p w14:paraId="12269E54" w14:textId="63DB53BD" w:rsidR="00B57653" w:rsidRPr="008C3C5A" w:rsidRDefault="003D07FD" w:rsidP="00BD04B9">
      <w:pPr>
        <w:pStyle w:val="BodytextSH"/>
      </w:pPr>
      <w:r w:rsidRPr="008C3C5A">
        <w:t>Although</w:t>
      </w:r>
      <w:r w:rsidR="00DE2F5E" w:rsidRPr="008C3C5A">
        <w:t xml:space="preserve"> the indicator </w:t>
      </w:r>
      <w:r w:rsidRPr="008C3C5A">
        <w:t>i</w:t>
      </w:r>
      <w:r w:rsidR="00A9766A" w:rsidRPr="008C3C5A">
        <w:t xml:space="preserve">s designed to capture comprehensive ear health checks, </w:t>
      </w:r>
      <w:r w:rsidRPr="008C3C5A">
        <w:t xml:space="preserve">the ability to record these ear checks varies by </w:t>
      </w:r>
      <w:r w:rsidR="00534E27" w:rsidRPr="008C3C5A">
        <w:t>CIS</w:t>
      </w:r>
      <w:r w:rsidR="00A9766A" w:rsidRPr="008C3C5A">
        <w:t xml:space="preserve">. </w:t>
      </w:r>
    </w:p>
    <w:p w14:paraId="0957DD19" w14:textId="77777777" w:rsidR="0063667F" w:rsidRDefault="00A9766A" w:rsidP="00BD04B9">
      <w:pPr>
        <w:pStyle w:val="BodytextSH"/>
      </w:pPr>
      <w:r w:rsidRPr="008C3C5A">
        <w:t xml:space="preserve">Most CIS do not </w:t>
      </w:r>
      <w:r w:rsidR="009D0423" w:rsidRPr="008C3C5A">
        <w:t>have a dedicated ear health module to record a comp</w:t>
      </w:r>
      <w:r w:rsidR="00BF7502">
        <w:t>rehensive</w:t>
      </w:r>
      <w:r w:rsidR="009D0423" w:rsidRPr="008C3C5A">
        <w:t xml:space="preserve"> check in one place, and</w:t>
      </w:r>
      <w:r w:rsidR="00E30A33" w:rsidRPr="008C3C5A">
        <w:t>,</w:t>
      </w:r>
      <w:r w:rsidR="009D0423" w:rsidRPr="008C3C5A">
        <w:t xml:space="preserve"> </w:t>
      </w:r>
      <w:r w:rsidR="00BA6369" w:rsidRPr="008C3C5A">
        <w:t>in some CIS</w:t>
      </w:r>
      <w:r w:rsidR="00E30A33" w:rsidRPr="008C3C5A">
        <w:t>,</w:t>
      </w:r>
      <w:r w:rsidR="00BA6369" w:rsidRPr="008C3C5A">
        <w:t xml:space="preserve"> </w:t>
      </w:r>
      <w:r w:rsidR="009D0423" w:rsidRPr="008C3C5A">
        <w:t xml:space="preserve">recording options </w:t>
      </w:r>
      <w:r w:rsidR="00BA6369" w:rsidRPr="008C3C5A">
        <w:t>are</w:t>
      </w:r>
      <w:r w:rsidR="009D0423" w:rsidRPr="008C3C5A">
        <w:t xml:space="preserve"> limited. In systems without an ear health module, data must be recorded in alternate locations</w:t>
      </w:r>
      <w:r w:rsidR="00EA2311" w:rsidRPr="008C3C5A">
        <w:t xml:space="preserve"> – </w:t>
      </w:r>
      <w:r w:rsidR="009D0423" w:rsidRPr="008C3C5A">
        <w:t>specifically, the procedures or conditions/diagnoses fields</w:t>
      </w:r>
      <w:r w:rsidR="00EA2311" w:rsidRPr="008C3C5A">
        <w:t xml:space="preserve"> – </w:t>
      </w:r>
      <w:r w:rsidR="009D0423" w:rsidRPr="008C3C5A">
        <w:t>so</w:t>
      </w:r>
      <w:r w:rsidR="00EA2311" w:rsidRPr="008C3C5A">
        <w:t xml:space="preserve"> </w:t>
      </w:r>
      <w:r w:rsidR="004B6742">
        <w:t>it can be counted in the</w:t>
      </w:r>
      <w:r w:rsidR="009D0423" w:rsidRPr="008C3C5A">
        <w:t xml:space="preserve"> </w:t>
      </w:r>
      <w:r w:rsidR="004B6742">
        <w:t xml:space="preserve">nKPI </w:t>
      </w:r>
      <w:r w:rsidR="009D0423" w:rsidRPr="008C3C5A">
        <w:t>report. These fields act as proxies for a dedicated module</w:t>
      </w:r>
      <w:r w:rsidR="004B6742">
        <w:t xml:space="preserve"> so that health services’ ear check activities can be counted</w:t>
      </w:r>
      <w:r w:rsidR="009D0423" w:rsidRPr="008C3C5A">
        <w:t xml:space="preserve">. </w:t>
      </w:r>
    </w:p>
    <w:p w14:paraId="44492875" w14:textId="0AC9CA2C" w:rsidR="00582B2B" w:rsidRPr="008C3C5A" w:rsidRDefault="00AC580B" w:rsidP="00BD04B9">
      <w:pPr>
        <w:pStyle w:val="BodytextSH"/>
      </w:pPr>
      <w:r w:rsidRPr="008C3C5A">
        <w:lastRenderedPageBreak/>
        <w:t xml:space="preserve">Comprehensive </w:t>
      </w:r>
      <w:r w:rsidR="009D0423" w:rsidRPr="008C3C5A">
        <w:t xml:space="preserve">reporting </w:t>
      </w:r>
      <w:r w:rsidR="006843D4" w:rsidRPr="008C3C5A">
        <w:t>relies</w:t>
      </w:r>
      <w:r w:rsidR="009D0423" w:rsidRPr="008C3C5A">
        <w:t xml:space="preserve"> on the </w:t>
      </w:r>
      <w:r w:rsidRPr="008C3C5A">
        <w:t xml:space="preserve">ear </w:t>
      </w:r>
      <w:r w:rsidR="009D0423" w:rsidRPr="008C3C5A">
        <w:t>check being recorded in the correct part of the CIS; otherwise, it may not be captured by the reporting tools</w:t>
      </w:r>
      <w:r w:rsidRPr="008C3C5A">
        <w:t xml:space="preserve"> resulting in</w:t>
      </w:r>
      <w:r w:rsidR="009D0423" w:rsidRPr="008C3C5A">
        <w:t xml:space="preserve"> missing data.</w:t>
      </w:r>
      <w:r w:rsidR="006E1A1F" w:rsidRPr="008C3C5A">
        <w:t xml:space="preserve"> </w:t>
      </w:r>
      <w:r w:rsidR="00582B2B" w:rsidRPr="008C3C5A">
        <w:t xml:space="preserve">To </w:t>
      </w:r>
      <w:r w:rsidR="009E2CC2" w:rsidRPr="008C3C5A">
        <w:t>accommodate</w:t>
      </w:r>
      <w:r w:rsidR="00787BF5" w:rsidRPr="008C3C5A">
        <w:t xml:space="preserve"> the </w:t>
      </w:r>
      <w:r w:rsidR="009E2CC2" w:rsidRPr="008C3C5A">
        <w:t>multiple data sources</w:t>
      </w:r>
      <w:r w:rsidR="00582B2B" w:rsidRPr="008C3C5A">
        <w:t xml:space="preserve">, </w:t>
      </w:r>
      <w:r w:rsidR="00F14FD9" w:rsidRPr="008C3C5A">
        <w:t xml:space="preserve">the indicator </w:t>
      </w:r>
      <w:r w:rsidR="004B6742">
        <w:t>has</w:t>
      </w:r>
      <w:r w:rsidR="00F14FD9" w:rsidRPr="008C3C5A">
        <w:t xml:space="preserve"> </w:t>
      </w:r>
      <w:r w:rsidR="00582B2B" w:rsidRPr="008C3C5A">
        <w:t>a tiered approach for sourcing data</w:t>
      </w:r>
      <w:r w:rsidR="00BF34E3" w:rsidRPr="008C3C5A">
        <w:t>,</w:t>
      </w:r>
      <w:r w:rsidR="007D30CB" w:rsidRPr="008C3C5A">
        <w:t xml:space="preserve"> with </w:t>
      </w:r>
      <w:r w:rsidR="00D778B9" w:rsidRPr="008C3C5A">
        <w:t>the following</w:t>
      </w:r>
      <w:r w:rsidR="007D30CB" w:rsidRPr="008C3C5A">
        <w:t xml:space="preserve"> defined</w:t>
      </w:r>
      <w:r w:rsidR="00F14FD9" w:rsidRPr="008C3C5A">
        <w:t xml:space="preserve"> </w:t>
      </w:r>
      <w:r w:rsidR="00582B2B" w:rsidRPr="008C3C5A">
        <w:t>order of priority</w:t>
      </w:r>
      <w:r w:rsidR="007D30CB" w:rsidRPr="008C3C5A">
        <w:t xml:space="preserve">. </w:t>
      </w:r>
    </w:p>
    <w:p w14:paraId="45A1D7FC" w14:textId="1F630D53" w:rsidR="00582B2B" w:rsidRPr="00582B2B" w:rsidRDefault="00582B2B" w:rsidP="00582B2B">
      <w:pPr>
        <w:numPr>
          <w:ilvl w:val="0"/>
          <w:numId w:val="7"/>
        </w:numPr>
        <w:spacing w:before="100" w:beforeAutospacing="1" w:after="100" w:afterAutospacing="1"/>
        <w:rPr>
          <w:rFonts w:eastAsia="Times New Roman" w:cs="Times New Roman"/>
          <w:kern w:val="0"/>
          <w:lang w:eastAsia="en-AU"/>
          <w14:ligatures w14:val="none"/>
        </w:rPr>
      </w:pPr>
      <w:r w:rsidRPr="00582B2B">
        <w:rPr>
          <w:rFonts w:eastAsia="Times New Roman" w:cs="Times New Roman"/>
          <w:b/>
          <w:bCs/>
          <w:kern w:val="0"/>
          <w:lang w:eastAsia="en-AU"/>
          <w14:ligatures w14:val="none"/>
        </w:rPr>
        <w:t>Ear health module</w:t>
      </w:r>
      <w:r w:rsidRPr="00582B2B">
        <w:rPr>
          <w:rFonts w:eastAsia="Times New Roman" w:cs="Times New Roman"/>
          <w:kern w:val="0"/>
          <w:lang w:eastAsia="en-AU"/>
          <w14:ligatures w14:val="none"/>
        </w:rPr>
        <w:t xml:space="preserve"> – This is the preferred source, providing the most comp</w:t>
      </w:r>
      <w:r w:rsidR="00514765">
        <w:rPr>
          <w:rFonts w:eastAsia="Times New Roman" w:cs="Times New Roman"/>
          <w:kern w:val="0"/>
          <w:lang w:eastAsia="en-AU"/>
          <w14:ligatures w14:val="none"/>
        </w:rPr>
        <w:t>lete</w:t>
      </w:r>
      <w:r w:rsidR="00C750A9">
        <w:rPr>
          <w:rFonts w:eastAsia="Times New Roman" w:cs="Times New Roman"/>
          <w:kern w:val="0"/>
          <w:lang w:eastAsia="en-AU"/>
          <w14:ligatures w14:val="none"/>
        </w:rPr>
        <w:t xml:space="preserve"> </w:t>
      </w:r>
      <w:r w:rsidRPr="00582B2B">
        <w:rPr>
          <w:rFonts w:eastAsia="Times New Roman" w:cs="Times New Roman"/>
          <w:kern w:val="0"/>
          <w:lang w:eastAsia="en-AU"/>
          <w14:ligatures w14:val="none"/>
        </w:rPr>
        <w:t xml:space="preserve">record of </w:t>
      </w:r>
      <w:r w:rsidR="00D85AF6">
        <w:rPr>
          <w:rFonts w:eastAsia="Times New Roman" w:cs="Times New Roman"/>
          <w:kern w:val="0"/>
          <w:lang w:eastAsia="en-AU"/>
          <w14:ligatures w14:val="none"/>
        </w:rPr>
        <w:t>a</w:t>
      </w:r>
      <w:r w:rsidR="00514765">
        <w:rPr>
          <w:rFonts w:eastAsia="Times New Roman" w:cs="Times New Roman"/>
          <w:kern w:val="0"/>
          <w:lang w:eastAsia="en-AU"/>
          <w14:ligatures w14:val="none"/>
        </w:rPr>
        <w:t xml:space="preserve"> comprehensive</w:t>
      </w:r>
      <w:r w:rsidR="00D85AF6">
        <w:rPr>
          <w:rFonts w:eastAsia="Times New Roman" w:cs="Times New Roman"/>
          <w:kern w:val="0"/>
          <w:lang w:eastAsia="en-AU"/>
          <w14:ligatures w14:val="none"/>
        </w:rPr>
        <w:t xml:space="preserve"> </w:t>
      </w:r>
      <w:r w:rsidRPr="00582B2B">
        <w:rPr>
          <w:rFonts w:eastAsia="Times New Roman" w:cs="Times New Roman"/>
          <w:kern w:val="0"/>
          <w:lang w:eastAsia="en-AU"/>
          <w14:ligatures w14:val="none"/>
        </w:rPr>
        <w:t>ear health check.</w:t>
      </w:r>
    </w:p>
    <w:p w14:paraId="6CE7C353" w14:textId="784A499E" w:rsidR="00582B2B" w:rsidRPr="00582B2B" w:rsidRDefault="00582B2B" w:rsidP="00582B2B">
      <w:pPr>
        <w:numPr>
          <w:ilvl w:val="0"/>
          <w:numId w:val="7"/>
        </w:numPr>
        <w:spacing w:before="100" w:beforeAutospacing="1" w:after="100" w:afterAutospacing="1"/>
        <w:rPr>
          <w:rFonts w:eastAsia="Times New Roman" w:cs="Times New Roman"/>
          <w:kern w:val="0"/>
          <w:lang w:eastAsia="en-AU"/>
          <w14:ligatures w14:val="none"/>
        </w:rPr>
      </w:pPr>
      <w:r w:rsidRPr="00582B2B">
        <w:rPr>
          <w:rFonts w:eastAsia="Times New Roman" w:cs="Times New Roman"/>
          <w:b/>
          <w:bCs/>
          <w:kern w:val="0"/>
          <w:lang w:eastAsia="en-AU"/>
          <w14:ligatures w14:val="none"/>
        </w:rPr>
        <w:t>Ear health procedures</w:t>
      </w:r>
      <w:r w:rsidR="1FFEFBCD" w:rsidRPr="00582B2B">
        <w:rPr>
          <w:rFonts w:eastAsia="Times New Roman" w:cs="Times New Roman"/>
          <w:b/>
          <w:bCs/>
          <w:kern w:val="0"/>
          <w:lang w:eastAsia="en-AU"/>
          <w14:ligatures w14:val="none"/>
        </w:rPr>
        <w:t>*</w:t>
      </w:r>
      <w:r w:rsidRPr="00582B2B">
        <w:rPr>
          <w:rFonts w:eastAsia="Times New Roman" w:cs="Times New Roman"/>
          <w:kern w:val="0"/>
          <w:lang w:eastAsia="en-AU"/>
          <w14:ligatures w14:val="none"/>
        </w:rPr>
        <w:t xml:space="preserve"> – If the</w:t>
      </w:r>
      <w:r w:rsidR="00514765">
        <w:rPr>
          <w:rFonts w:eastAsia="Times New Roman" w:cs="Times New Roman"/>
          <w:kern w:val="0"/>
          <w:lang w:eastAsia="en-AU"/>
          <w14:ligatures w14:val="none"/>
        </w:rPr>
        <w:t>re is no</w:t>
      </w:r>
      <w:r w:rsidRPr="00582B2B">
        <w:rPr>
          <w:rFonts w:eastAsia="Times New Roman" w:cs="Times New Roman"/>
          <w:kern w:val="0"/>
          <w:lang w:eastAsia="en-AU"/>
          <w14:ligatures w14:val="none"/>
        </w:rPr>
        <w:t xml:space="preserve"> ear health module </w:t>
      </w:r>
      <w:r w:rsidR="00514765">
        <w:rPr>
          <w:rFonts w:eastAsia="Times New Roman" w:cs="Times New Roman"/>
          <w:kern w:val="0"/>
          <w:lang w:eastAsia="en-AU"/>
          <w14:ligatures w14:val="none"/>
        </w:rPr>
        <w:t>or no data is recorded in the ear health module</w:t>
      </w:r>
      <w:r w:rsidRPr="00582B2B">
        <w:rPr>
          <w:rFonts w:eastAsia="Times New Roman" w:cs="Times New Roman"/>
          <w:kern w:val="0"/>
          <w:lang w:eastAsia="en-AU"/>
          <w14:ligatures w14:val="none"/>
        </w:rPr>
        <w:t xml:space="preserve">, data from procedures </w:t>
      </w:r>
      <w:r w:rsidR="004B6742">
        <w:rPr>
          <w:rFonts w:eastAsia="Times New Roman" w:cs="Times New Roman"/>
          <w:kern w:val="0"/>
          <w:lang w:eastAsia="en-AU"/>
          <w14:ligatures w14:val="none"/>
        </w:rPr>
        <w:t>(</w:t>
      </w:r>
      <w:r w:rsidRPr="00582B2B">
        <w:rPr>
          <w:rFonts w:eastAsia="Times New Roman" w:cs="Times New Roman"/>
          <w:kern w:val="0"/>
          <w:lang w:eastAsia="en-AU"/>
          <w14:ligatures w14:val="none"/>
        </w:rPr>
        <w:t>defined in the ear health coding framework</w:t>
      </w:r>
      <w:r w:rsidR="004B6742">
        <w:rPr>
          <w:rFonts w:eastAsia="Times New Roman" w:cs="Times New Roman"/>
          <w:kern w:val="0"/>
          <w:lang w:eastAsia="en-AU"/>
          <w14:ligatures w14:val="none"/>
        </w:rPr>
        <w:t>)</w:t>
      </w:r>
      <w:r w:rsidRPr="00582B2B">
        <w:rPr>
          <w:rFonts w:eastAsia="Times New Roman" w:cs="Times New Roman"/>
          <w:kern w:val="0"/>
          <w:lang w:eastAsia="en-AU"/>
          <w14:ligatures w14:val="none"/>
        </w:rPr>
        <w:t xml:space="preserve"> </w:t>
      </w:r>
      <w:r w:rsidR="00F71F98" w:rsidRPr="3BA121DC">
        <w:rPr>
          <w:rFonts w:eastAsia="Times New Roman" w:cs="Times New Roman"/>
          <w:lang w:eastAsia="en-AU"/>
        </w:rPr>
        <w:t>are counted</w:t>
      </w:r>
      <w:r w:rsidRPr="00582B2B">
        <w:rPr>
          <w:rFonts w:eastAsia="Times New Roman" w:cs="Times New Roman"/>
          <w:kern w:val="0"/>
          <w:lang w:eastAsia="en-AU"/>
          <w14:ligatures w14:val="none"/>
        </w:rPr>
        <w:t xml:space="preserve">. </w:t>
      </w:r>
    </w:p>
    <w:p w14:paraId="123D2CC2" w14:textId="370F5221" w:rsidR="00582B2B" w:rsidRPr="00582B2B" w:rsidRDefault="00582B2B" w:rsidP="00582B2B">
      <w:pPr>
        <w:numPr>
          <w:ilvl w:val="0"/>
          <w:numId w:val="7"/>
        </w:numPr>
        <w:spacing w:before="100" w:beforeAutospacing="1" w:after="100" w:afterAutospacing="1"/>
        <w:rPr>
          <w:rFonts w:eastAsia="Times New Roman" w:cs="Times New Roman"/>
          <w:kern w:val="0"/>
          <w:lang w:eastAsia="en-AU"/>
          <w14:ligatures w14:val="none"/>
        </w:rPr>
      </w:pPr>
      <w:r w:rsidRPr="00582B2B">
        <w:rPr>
          <w:rFonts w:eastAsia="Times New Roman" w:cs="Times New Roman"/>
          <w:b/>
          <w:bCs/>
          <w:kern w:val="0"/>
          <w:lang w:eastAsia="en-AU"/>
          <w14:ligatures w14:val="none"/>
        </w:rPr>
        <w:t>Ear health conditions/diagnoses</w:t>
      </w:r>
      <w:r w:rsidR="33497EE7" w:rsidRPr="00582B2B">
        <w:rPr>
          <w:rFonts w:eastAsia="Times New Roman" w:cs="Times New Roman"/>
          <w:b/>
          <w:bCs/>
          <w:kern w:val="0"/>
          <w:lang w:eastAsia="en-AU"/>
          <w14:ligatures w14:val="none"/>
        </w:rPr>
        <w:t>*</w:t>
      </w:r>
      <w:r w:rsidRPr="00582B2B">
        <w:rPr>
          <w:rFonts w:eastAsia="Times New Roman" w:cs="Times New Roman"/>
          <w:kern w:val="0"/>
          <w:lang w:eastAsia="en-AU"/>
          <w14:ligatures w14:val="none"/>
        </w:rPr>
        <w:t xml:space="preserve"> – If </w:t>
      </w:r>
      <w:r w:rsidR="0082294F">
        <w:rPr>
          <w:rFonts w:eastAsia="Times New Roman" w:cs="Times New Roman"/>
          <w:kern w:val="0"/>
          <w:lang w:eastAsia="en-AU"/>
          <w14:ligatures w14:val="none"/>
        </w:rPr>
        <w:t xml:space="preserve">there is no data in </w:t>
      </w:r>
      <w:r w:rsidRPr="00582B2B">
        <w:rPr>
          <w:rFonts w:eastAsia="Times New Roman" w:cs="Times New Roman"/>
          <w:kern w:val="0"/>
          <w:lang w:eastAsia="en-AU"/>
          <w14:ligatures w14:val="none"/>
        </w:rPr>
        <w:t xml:space="preserve">the ear health module </w:t>
      </w:r>
      <w:r w:rsidR="0082294F">
        <w:rPr>
          <w:rFonts w:eastAsia="Times New Roman" w:cs="Times New Roman"/>
          <w:kern w:val="0"/>
          <w:lang w:eastAsia="en-AU"/>
          <w14:ligatures w14:val="none"/>
        </w:rPr>
        <w:t>and no</w:t>
      </w:r>
      <w:r w:rsidRPr="00582B2B">
        <w:rPr>
          <w:rFonts w:eastAsia="Times New Roman" w:cs="Times New Roman"/>
          <w:kern w:val="0"/>
          <w:lang w:eastAsia="en-AU"/>
          <w14:ligatures w14:val="none"/>
        </w:rPr>
        <w:t xml:space="preserve"> procedure</w:t>
      </w:r>
      <w:r w:rsidR="0082294F">
        <w:rPr>
          <w:rFonts w:eastAsia="Times New Roman" w:cs="Times New Roman"/>
          <w:kern w:val="0"/>
          <w:lang w:eastAsia="en-AU"/>
          <w14:ligatures w14:val="none"/>
        </w:rPr>
        <w:t xml:space="preserve"> data</w:t>
      </w:r>
      <w:r w:rsidRPr="00582B2B">
        <w:rPr>
          <w:rFonts w:eastAsia="Times New Roman" w:cs="Times New Roman"/>
          <w:kern w:val="0"/>
          <w:lang w:eastAsia="en-AU"/>
          <w14:ligatures w14:val="none"/>
        </w:rPr>
        <w:t xml:space="preserve">, </w:t>
      </w:r>
      <w:r w:rsidR="0082294F">
        <w:rPr>
          <w:rFonts w:eastAsia="Times New Roman" w:cs="Times New Roman"/>
          <w:kern w:val="0"/>
          <w:lang w:eastAsia="en-AU"/>
          <w14:ligatures w14:val="none"/>
        </w:rPr>
        <w:t>then the</w:t>
      </w:r>
      <w:r w:rsidRPr="00582B2B">
        <w:rPr>
          <w:rFonts w:eastAsia="Times New Roman" w:cs="Times New Roman"/>
          <w:kern w:val="0"/>
          <w:lang w:eastAsia="en-AU"/>
          <w14:ligatures w14:val="none"/>
        </w:rPr>
        <w:t xml:space="preserve"> ear health conditions/diagnoses defined in the ear health coding framework </w:t>
      </w:r>
      <w:r w:rsidR="003C7312" w:rsidRPr="3BA121DC">
        <w:rPr>
          <w:rFonts w:eastAsia="Times New Roman" w:cs="Times New Roman"/>
          <w:lang w:eastAsia="en-AU"/>
        </w:rPr>
        <w:t>are counted</w:t>
      </w:r>
      <w:r w:rsidRPr="00582B2B">
        <w:rPr>
          <w:rFonts w:eastAsia="Times New Roman" w:cs="Times New Roman"/>
          <w:kern w:val="0"/>
          <w:lang w:eastAsia="en-AU"/>
          <w14:ligatures w14:val="none"/>
        </w:rPr>
        <w:t xml:space="preserve">. This is the least preferred source, as </w:t>
      </w:r>
      <w:r w:rsidR="00583B22">
        <w:rPr>
          <w:rFonts w:eastAsia="Times New Roman" w:cs="Times New Roman"/>
          <w:kern w:val="0"/>
          <w:lang w:eastAsia="en-AU"/>
          <w14:ligatures w14:val="none"/>
        </w:rPr>
        <w:t>a diagnosis itself doesn’t</w:t>
      </w:r>
      <w:r w:rsidRPr="00582B2B">
        <w:rPr>
          <w:rFonts w:eastAsia="Times New Roman" w:cs="Times New Roman"/>
          <w:kern w:val="0"/>
          <w:lang w:eastAsia="en-AU"/>
          <w14:ligatures w14:val="none"/>
        </w:rPr>
        <w:t xml:space="preserve"> </w:t>
      </w:r>
      <w:r w:rsidR="00B27A14">
        <w:rPr>
          <w:rFonts w:eastAsia="Times New Roman" w:cs="Times New Roman"/>
          <w:kern w:val="0"/>
          <w:lang w:eastAsia="en-AU"/>
          <w14:ligatures w14:val="none"/>
        </w:rPr>
        <w:t xml:space="preserve">definitively </w:t>
      </w:r>
      <w:r w:rsidRPr="00582B2B">
        <w:rPr>
          <w:rFonts w:eastAsia="Times New Roman" w:cs="Times New Roman"/>
          <w:kern w:val="0"/>
          <w:lang w:eastAsia="en-AU"/>
          <w14:ligatures w14:val="none"/>
        </w:rPr>
        <w:t>confirm that a comprehensive ear check was completed.</w:t>
      </w:r>
    </w:p>
    <w:p w14:paraId="6B9F9318" w14:textId="4AE00C48" w:rsidR="3BA121DC" w:rsidRDefault="00582B2B" w:rsidP="00BD04B9">
      <w:pPr>
        <w:pStyle w:val="BodytextSH"/>
        <w:rPr>
          <w:rFonts w:eastAsiaTheme="minorHAnsi"/>
        </w:rPr>
      </w:pPr>
      <w:r w:rsidRPr="00123A67">
        <w:t>Th</w:t>
      </w:r>
      <w:r w:rsidR="004832C2" w:rsidRPr="00123A67">
        <w:t>e</w:t>
      </w:r>
      <w:r w:rsidRPr="00123A67">
        <w:t xml:space="preserve"> tiered </w:t>
      </w:r>
      <w:r w:rsidR="00E01191" w:rsidRPr="00123A67">
        <w:t xml:space="preserve">counting </w:t>
      </w:r>
      <w:r w:rsidRPr="00123A67">
        <w:t>approach ensures that the most reliable data is used for reporting</w:t>
      </w:r>
      <w:r w:rsidR="003C7312" w:rsidRPr="00123A67">
        <w:t xml:space="preserve"> </w:t>
      </w:r>
      <w:r w:rsidR="00AD4517" w:rsidRPr="00123A67">
        <w:t>whilst also accommodating some of the CIS recording limitations</w:t>
      </w:r>
      <w:r w:rsidR="0016067C" w:rsidRPr="00123A67">
        <w:t xml:space="preserve">. </w:t>
      </w:r>
      <w:r w:rsidR="0012232D" w:rsidRPr="00123A67">
        <w:t xml:space="preserve">A further rule applies whereby </w:t>
      </w:r>
      <w:r w:rsidR="003A2FCA" w:rsidRPr="00123A67">
        <w:t>when data is found in the first tier</w:t>
      </w:r>
      <w:r w:rsidR="009320AE" w:rsidRPr="00123A67">
        <w:t xml:space="preserve"> the count stops and doesn’t look for data in the lower tiers</w:t>
      </w:r>
      <w:r w:rsidR="0012232D" w:rsidRPr="00123A67">
        <w:t xml:space="preserve">. </w:t>
      </w:r>
      <w:r w:rsidR="009320AE" w:rsidRPr="00123A67">
        <w:t>This means</w:t>
      </w:r>
      <w:r w:rsidR="00B04375" w:rsidRPr="00123A67">
        <w:t xml:space="preserve"> data is only counted from the highest-priority source when relevant data is found even if parts of a check are recorded elsewhere.</w:t>
      </w:r>
      <w:r w:rsidR="00D676DE" w:rsidRPr="00123A67">
        <w:t xml:space="preserve"> </w:t>
      </w:r>
      <w:r w:rsidR="00D676DE" w:rsidRPr="00123A67">
        <w:rPr>
          <w:rStyle w:val="Strong"/>
          <w:b w:val="0"/>
          <w:bCs w:val="0"/>
        </w:rPr>
        <w:t>D</w:t>
      </w:r>
      <w:r w:rsidR="001F34BA" w:rsidRPr="00123A67">
        <w:rPr>
          <w:rStyle w:val="Strong"/>
          <w:b w:val="0"/>
          <w:bCs w:val="0"/>
        </w:rPr>
        <w:t>ata recorded in lower-priority workflows will not be counted</w:t>
      </w:r>
      <w:r w:rsidR="001F34BA" w:rsidRPr="0082294F">
        <w:t xml:space="preserve"> </w:t>
      </w:r>
      <w:r w:rsidR="001F34BA" w:rsidRPr="00123A67">
        <w:t>if any relevant data exists in a higher-priority workflow.</w:t>
      </w:r>
      <w:r w:rsidR="0016067C" w:rsidRPr="00123A67">
        <w:t xml:space="preserve"> For example, if </w:t>
      </w:r>
      <w:r w:rsidR="003759DA" w:rsidRPr="00123A67">
        <w:t>an appearance check is recorded in procedures and a movement check in diagnoses, only the appearance check from the procedure will be counted</w:t>
      </w:r>
      <w:r w:rsidR="00C36B01" w:rsidRPr="00123A67">
        <w:t xml:space="preserve"> – </w:t>
      </w:r>
      <w:r w:rsidR="003759DA" w:rsidRPr="00123A67">
        <w:t>the</w:t>
      </w:r>
      <w:r w:rsidR="00C36B01" w:rsidRPr="00123A67">
        <w:t xml:space="preserve"> </w:t>
      </w:r>
      <w:r w:rsidR="003759DA" w:rsidRPr="00123A67">
        <w:t xml:space="preserve">movement check in the diagnosis field will be ignored. </w:t>
      </w:r>
    </w:p>
    <w:p w14:paraId="76BAB494" w14:textId="17303549" w:rsidR="0082294F" w:rsidRPr="00123A67" w:rsidRDefault="0082294F" w:rsidP="0082294F">
      <w:pPr>
        <w:pStyle w:val="BodytextSH"/>
        <w:rPr>
          <w:rFonts w:eastAsia="Arial"/>
        </w:rPr>
      </w:pPr>
      <w:r w:rsidRPr="00123A67">
        <w:t>*</w:t>
      </w:r>
      <w:r w:rsidRPr="00123A67">
        <w:rPr>
          <w:rFonts w:eastAsia="Arial"/>
        </w:rPr>
        <w:t xml:space="preserve">To report </w:t>
      </w:r>
      <w:r w:rsidR="0063667F">
        <w:rPr>
          <w:rFonts w:eastAsia="Arial"/>
        </w:rPr>
        <w:t xml:space="preserve">ear check related </w:t>
      </w:r>
      <w:r w:rsidR="00445180">
        <w:rPr>
          <w:rFonts w:eastAsia="Arial"/>
        </w:rPr>
        <w:t>procedures or conditions</w:t>
      </w:r>
      <w:r w:rsidRPr="00123A67">
        <w:rPr>
          <w:rFonts w:eastAsia="Arial"/>
        </w:rPr>
        <w:t xml:space="preserve"> against an assessment of appearance and</w:t>
      </w:r>
      <w:r>
        <w:rPr>
          <w:rFonts w:eastAsia="Arial"/>
        </w:rPr>
        <w:t>/or</w:t>
      </w:r>
      <w:r w:rsidRPr="00123A67">
        <w:rPr>
          <w:rFonts w:eastAsia="Arial"/>
        </w:rPr>
        <w:t xml:space="preserve"> movement, each eligible procedure and condition is allocated to the categories of Appearance</w:t>
      </w:r>
      <w:r w:rsidR="0063667F">
        <w:rPr>
          <w:rFonts w:eastAsia="Arial"/>
        </w:rPr>
        <w:t xml:space="preserve"> (App)</w:t>
      </w:r>
      <w:r w:rsidRPr="00123A67">
        <w:rPr>
          <w:rFonts w:eastAsia="Arial"/>
        </w:rPr>
        <w:t>, or Movement</w:t>
      </w:r>
      <w:r w:rsidR="0063667F">
        <w:rPr>
          <w:rFonts w:eastAsia="Arial"/>
        </w:rPr>
        <w:t xml:space="preserve"> (Move)</w:t>
      </w:r>
      <w:r w:rsidRPr="00123A67">
        <w:rPr>
          <w:rFonts w:eastAsia="Arial"/>
        </w:rPr>
        <w:t xml:space="preserve">, or Both. These are listed in the </w:t>
      </w:r>
      <w:hyperlink r:id="rId11" w:history="1">
        <w:r w:rsidRPr="00236B46">
          <w:rPr>
            <w:rStyle w:val="Hyperlink"/>
            <w:rFonts w:eastAsia="Arial"/>
          </w:rPr>
          <w:t>Specifications</w:t>
        </w:r>
      </w:hyperlink>
      <w:r w:rsidRPr="00123A67">
        <w:rPr>
          <w:rFonts w:eastAsia="Arial"/>
        </w:rPr>
        <w:t xml:space="preserve"> for nKPI and OSR in Appendix E, the Condition Coding Framework. The following example from the Ear Health section shows the allocation of appearance and/or movement for each term in the far-right column. Each CIS is colour coded for quick reference. </w:t>
      </w:r>
    </w:p>
    <w:p w14:paraId="73AE92A4" w14:textId="77777777" w:rsidR="0082294F" w:rsidRDefault="0082294F" w:rsidP="0082294F">
      <w:pPr>
        <w:spacing w:beforeAutospacing="1" w:afterAutospacing="1"/>
      </w:pPr>
      <w:r w:rsidRPr="00287764">
        <w:rPr>
          <w:noProof/>
        </w:rPr>
        <w:drawing>
          <wp:inline distT="0" distB="0" distL="0" distR="0" wp14:anchorId="0B3C879B" wp14:editId="7143A1E4">
            <wp:extent cx="5616643" cy="1163320"/>
            <wp:effectExtent l="25400" t="25400" r="85725" b="93980"/>
            <wp:docPr id="1804681681" name="Picture 1" descr="Screen shot of example from the Ear Health section shows the allocation of appearance and/or movement for each term in the far-right column. Each CIS is colour coded for quick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81681" name="Picture 1" descr="Screen shot of example from the Ear Health section shows the allocation of appearance and/or movement for each term in the far-right column. Each CIS is colour coded for quick reference."/>
                    <pic:cNvPicPr/>
                  </pic:nvPicPr>
                  <pic:blipFill rotWithShape="1">
                    <a:blip r:embed="rId12"/>
                    <a:srcRect l="916" t="24954" r="990"/>
                    <a:stretch/>
                  </pic:blipFill>
                  <pic:spPr bwMode="auto">
                    <a:xfrm>
                      <a:off x="0" y="0"/>
                      <a:ext cx="5618569" cy="1163719"/>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C7E240C" w14:textId="3920862F" w:rsidR="0082294F" w:rsidRDefault="0082294F" w:rsidP="0082294F">
      <w:pPr>
        <w:pStyle w:val="BodytextSH"/>
      </w:pPr>
      <w:r w:rsidRPr="0082294F">
        <w:rPr>
          <w:b/>
          <w:bCs/>
        </w:rPr>
        <w:t>TIP:</w:t>
      </w:r>
      <w:r>
        <w:t xml:space="preserve"> For data to be reported by the CIS’s reporting tool </w:t>
      </w:r>
      <w:r w:rsidRPr="00123A67">
        <w:t xml:space="preserve">it's important for </w:t>
      </w:r>
      <w:r>
        <w:t xml:space="preserve">health </w:t>
      </w:r>
      <w:r w:rsidRPr="00123A67">
        <w:t xml:space="preserve">services to understand how their CIS manages ear health data and know where checks should be recorded to ensure they are </w:t>
      </w:r>
      <w:r>
        <w:t>counted</w:t>
      </w:r>
      <w:r w:rsidRPr="00123A67">
        <w:t>.</w:t>
      </w:r>
    </w:p>
    <w:p w14:paraId="732A3353" w14:textId="38A937EC" w:rsidR="002C1E36" w:rsidRPr="00E73DDB" w:rsidRDefault="0089373B" w:rsidP="0089373B">
      <w:pPr>
        <w:pStyle w:val="Heading1SH"/>
      </w:pPr>
      <w:r w:rsidRPr="0089373B">
        <w:t>Communicare data limitations</w:t>
      </w:r>
      <w:r w:rsidRPr="0089373B" w:rsidDel="00894C5D">
        <w:rPr>
          <w:rStyle w:val="Strong"/>
          <w:b/>
          <w:bCs/>
        </w:rPr>
        <w:t xml:space="preserve"> </w:t>
      </w:r>
    </w:p>
    <w:p w14:paraId="79A2D431" w14:textId="41EA2C5B" w:rsidR="00123A67" w:rsidRDefault="00D8110A" w:rsidP="00BD04B9">
      <w:pPr>
        <w:pStyle w:val="BodytextSH"/>
      </w:pPr>
      <w:r>
        <w:t xml:space="preserve">Available options for recording ear checks in the CIS affect how data for PI26 is reported. </w:t>
      </w:r>
      <w:r w:rsidR="00123A67" w:rsidRPr="005C57DB">
        <w:t>Communicare limitations</w:t>
      </w:r>
      <w:r w:rsidR="00123A67">
        <w:t xml:space="preserve"> include:</w:t>
      </w:r>
    </w:p>
    <w:p w14:paraId="45FAD870" w14:textId="3E8F91FD" w:rsidR="00B011CC" w:rsidRPr="00E73DDB" w:rsidRDefault="00D75E34" w:rsidP="00D8110A">
      <w:pPr>
        <w:pStyle w:val="BulletSH"/>
      </w:pPr>
      <w:r w:rsidRPr="00E73DDB">
        <w:rPr>
          <w:rStyle w:val="Strong"/>
          <w:b w:val="0"/>
        </w:rPr>
        <w:t>No dedicated ear health module</w:t>
      </w:r>
      <w:r w:rsidRPr="00E73DDB">
        <w:t xml:space="preserve">: </w:t>
      </w:r>
      <w:r w:rsidR="001F6D12" w:rsidRPr="00E73DDB">
        <w:t>Communicare</w:t>
      </w:r>
      <w:r w:rsidRPr="00E73DDB">
        <w:t xml:space="preserve"> doesn</w:t>
      </w:r>
      <w:r w:rsidR="00375521">
        <w:t>’</w:t>
      </w:r>
      <w:r w:rsidRPr="00E73DDB">
        <w:t xml:space="preserve">t have a specific ear health module, meaning ear health data must be sourced from other areas within the </w:t>
      </w:r>
      <w:r w:rsidR="00375521">
        <w:t>client’s record</w:t>
      </w:r>
      <w:r w:rsidRPr="00E73DDB">
        <w:t>.</w:t>
      </w:r>
      <w:r w:rsidR="001F6D12" w:rsidRPr="00E73DDB">
        <w:t xml:space="preserve"> </w:t>
      </w:r>
      <w:r w:rsidR="00ED6583" w:rsidRPr="00E73DDB">
        <w:t>However</w:t>
      </w:r>
      <w:r w:rsidR="009D3D00">
        <w:t>,</w:t>
      </w:r>
      <w:r w:rsidR="00ED6583" w:rsidRPr="00E73DDB">
        <w:t xml:space="preserve"> qualifiers for procedures </w:t>
      </w:r>
      <w:r w:rsidR="008F12AA">
        <w:t xml:space="preserve">including </w:t>
      </w:r>
      <w:r w:rsidR="00ED6583" w:rsidRPr="00E73DDB">
        <w:t xml:space="preserve">otoscopy and tympanometry, </w:t>
      </w:r>
      <w:r w:rsidR="009D3D00">
        <w:t>are counted</w:t>
      </w:r>
      <w:r w:rsidR="004124E5" w:rsidRPr="00E73DDB">
        <w:t>.</w:t>
      </w:r>
    </w:p>
    <w:p w14:paraId="6CFAE346" w14:textId="3D7E5CB8" w:rsidR="002D6A9C" w:rsidRPr="00D8110A" w:rsidRDefault="00634DDF" w:rsidP="00D8110A">
      <w:pPr>
        <w:pStyle w:val="BulletSH"/>
      </w:pPr>
      <w:r w:rsidRPr="00E73DDB">
        <w:rPr>
          <w:rStyle w:val="Strong"/>
          <w:b w:val="0"/>
        </w:rPr>
        <w:lastRenderedPageBreak/>
        <w:t>Qualifiers</w:t>
      </w:r>
      <w:r w:rsidR="00BD123A" w:rsidRPr="00E73DDB">
        <w:rPr>
          <w:rStyle w:val="Strong"/>
          <w:b w:val="0"/>
        </w:rPr>
        <w:t xml:space="preserve"> in local clinical items</w:t>
      </w:r>
      <w:r w:rsidR="00BD123A" w:rsidRPr="00E73DDB">
        <w:t xml:space="preserve">: </w:t>
      </w:r>
      <w:r w:rsidR="005B4BF7" w:rsidRPr="00E73DDB">
        <w:t>To ensure they are counted in the nKPI reporting for PI26 Ear Health Checks, the relevant export and system codes must be added to any qualifiers used in local clinical items. All existing central qualifiers have already been set up with rule codes for reporting this indicator.</w:t>
      </w:r>
      <w:r w:rsidR="00070EC3" w:rsidRPr="00E73DDB">
        <w:br/>
        <w:t xml:space="preserve">Relevant </w:t>
      </w:r>
      <w:r w:rsidR="0031033E" w:rsidRPr="00E73DDB">
        <w:t xml:space="preserve">codes can be found here: </w:t>
      </w:r>
      <w:hyperlink r:id="rId13" w:history="1">
        <w:r w:rsidR="0031033E" w:rsidRPr="00E73DDB">
          <w:rPr>
            <w:rStyle w:val="Hyperlink"/>
          </w:rPr>
          <w:t>Codes to support nKPI PI 26 Ear Health Checks</w:t>
        </w:r>
      </w:hyperlink>
      <w:r w:rsidR="00A31985" w:rsidRPr="00E73DDB">
        <w:t xml:space="preserve"> (current as of </w:t>
      </w:r>
      <w:r w:rsidR="001C566E" w:rsidRPr="00E73DDB">
        <w:t>18 March 2025, v22.4)</w:t>
      </w:r>
      <w:r w:rsidR="007F2ACD" w:rsidRPr="00E73DDB">
        <w:t>.</w:t>
      </w:r>
    </w:p>
    <w:p w14:paraId="679BE5B9" w14:textId="366FD30F" w:rsidR="002B5DB3" w:rsidRDefault="004F29DE" w:rsidP="002B5DB3">
      <w:pPr>
        <w:pStyle w:val="Heading1SH"/>
      </w:pPr>
      <w:r>
        <w:t>Communicare</w:t>
      </w:r>
      <w:r w:rsidR="00592C46">
        <w:t xml:space="preserve"> </w:t>
      </w:r>
      <w:r w:rsidR="52E1B1A7">
        <w:t>d</w:t>
      </w:r>
      <w:r w:rsidR="002B5DB3">
        <w:t>ata management tips</w:t>
      </w:r>
    </w:p>
    <w:p w14:paraId="2E3771E4" w14:textId="6AC03E80" w:rsidR="00DE5595" w:rsidRPr="00E112B8" w:rsidRDefault="00363733" w:rsidP="00D8110A">
      <w:pPr>
        <w:pStyle w:val="ThirdlevelsubheadingSH"/>
        <w:rPr>
          <w:color w:val="505050"/>
        </w:rPr>
      </w:pPr>
      <w:r w:rsidRPr="00E112B8">
        <w:rPr>
          <w:rStyle w:val="Strong"/>
          <w:b/>
          <w:bCs/>
          <w:color w:val="505050"/>
        </w:rPr>
        <w:t xml:space="preserve">Note </w:t>
      </w:r>
      <w:r w:rsidR="00C70249" w:rsidRPr="00E112B8">
        <w:rPr>
          <w:rStyle w:val="Strong"/>
          <w:b/>
          <w:bCs/>
          <w:color w:val="505050"/>
        </w:rPr>
        <w:t>the 12-</w:t>
      </w:r>
      <w:r w:rsidRPr="00E112B8">
        <w:rPr>
          <w:rStyle w:val="Strong"/>
          <w:b/>
          <w:bCs/>
          <w:color w:val="505050"/>
        </w:rPr>
        <w:t>month window</w:t>
      </w:r>
    </w:p>
    <w:p w14:paraId="0E624EB6" w14:textId="01B50DFE" w:rsidR="007F00C5" w:rsidRDefault="00DE5595" w:rsidP="00D8110A">
      <w:pPr>
        <w:pStyle w:val="BodytextSH"/>
      </w:pPr>
      <w:r>
        <w:t>PI26</w:t>
      </w:r>
      <w:r w:rsidR="00C70249">
        <w:t xml:space="preserve"> only counts checks conducted in the last 12 months. This is </w:t>
      </w:r>
      <w:r w:rsidR="00673D32">
        <w:t xml:space="preserve">particularly </w:t>
      </w:r>
      <w:r w:rsidR="00C70249">
        <w:t xml:space="preserve">important when sourcing </w:t>
      </w:r>
      <w:r w:rsidR="00BC4F00">
        <w:t xml:space="preserve">proxy ear check </w:t>
      </w:r>
      <w:r w:rsidR="00C70249">
        <w:t xml:space="preserve">data, </w:t>
      </w:r>
      <w:r w:rsidR="00D8110A">
        <w:t>because</w:t>
      </w:r>
      <w:r w:rsidR="00C70249">
        <w:t xml:space="preserve"> the </w:t>
      </w:r>
      <w:r w:rsidR="00963BFA">
        <w:t>date of the recorded procedure or condition m</w:t>
      </w:r>
      <w:r w:rsidR="00C70249">
        <w:t>ust fall within the specified period.</w:t>
      </w:r>
    </w:p>
    <w:p w14:paraId="5EF92E75" w14:textId="4D430435" w:rsidR="008931E6" w:rsidRPr="00E112B8" w:rsidRDefault="00FC1D75" w:rsidP="00D8110A">
      <w:pPr>
        <w:pStyle w:val="ThirdlevelsubheadingSH"/>
        <w:ind w:left="0" w:firstLine="0"/>
        <w:rPr>
          <w:color w:val="505050"/>
        </w:rPr>
      </w:pPr>
      <w:r w:rsidRPr="00E112B8">
        <w:rPr>
          <w:rStyle w:val="Strong"/>
          <w:b/>
          <w:bCs/>
          <w:color w:val="505050"/>
        </w:rPr>
        <w:t xml:space="preserve">Understand the </w:t>
      </w:r>
      <w:r w:rsidR="00363733" w:rsidRPr="00E112B8">
        <w:rPr>
          <w:rStyle w:val="Strong"/>
          <w:b/>
          <w:bCs/>
          <w:color w:val="505050"/>
        </w:rPr>
        <w:t>i</w:t>
      </w:r>
      <w:r w:rsidRPr="00E112B8">
        <w:rPr>
          <w:rStyle w:val="Strong"/>
          <w:b/>
          <w:bCs/>
          <w:color w:val="505050"/>
        </w:rPr>
        <w:t xml:space="preserve">ncluded </w:t>
      </w:r>
      <w:r w:rsidR="00363733" w:rsidRPr="00E112B8">
        <w:rPr>
          <w:rStyle w:val="Strong"/>
          <w:b/>
          <w:bCs/>
          <w:color w:val="505050"/>
        </w:rPr>
        <w:t>p</w:t>
      </w:r>
      <w:r w:rsidRPr="00E112B8">
        <w:rPr>
          <w:rStyle w:val="Strong"/>
          <w:b/>
          <w:bCs/>
          <w:color w:val="505050"/>
        </w:rPr>
        <w:t xml:space="preserve">rocedures and </w:t>
      </w:r>
      <w:r w:rsidR="00363733" w:rsidRPr="00E112B8">
        <w:rPr>
          <w:rStyle w:val="Strong"/>
          <w:b/>
          <w:bCs/>
          <w:color w:val="505050"/>
        </w:rPr>
        <w:t>c</w:t>
      </w:r>
      <w:r w:rsidRPr="00E112B8">
        <w:rPr>
          <w:rStyle w:val="Strong"/>
          <w:b/>
          <w:bCs/>
          <w:color w:val="505050"/>
        </w:rPr>
        <w:t>onditions</w:t>
      </w:r>
      <w:r w:rsidRPr="00E112B8">
        <w:rPr>
          <w:color w:val="505050"/>
        </w:rPr>
        <w:t xml:space="preserve"> </w:t>
      </w:r>
    </w:p>
    <w:p w14:paraId="307740D9" w14:textId="62919FF9" w:rsidR="006954D1" w:rsidRDefault="006954D1" w:rsidP="00BD04B9">
      <w:pPr>
        <w:pStyle w:val="BodytextSH"/>
        <w:rPr>
          <w:rFonts w:ascii="Segoe UI" w:eastAsia="Segoe UI" w:hAnsi="Segoe UI" w:cs="Segoe UI"/>
          <w:color w:val="333333"/>
          <w:sz w:val="18"/>
          <w:szCs w:val="18"/>
        </w:rPr>
      </w:pPr>
      <w:r w:rsidRPr="00040DD9">
        <w:rPr>
          <w:rFonts w:eastAsiaTheme="minorHAnsi"/>
        </w:rPr>
        <w:t>Some notable principles for exclusion apply to PI26</w:t>
      </w:r>
      <w:r>
        <w:t xml:space="preserve"> </w:t>
      </w:r>
      <w:r w:rsidR="008910F4">
        <w:t>specifically</w:t>
      </w:r>
      <w:r>
        <w:t xml:space="preserve"> where an activity, procedure or condition</w:t>
      </w:r>
      <w:r w:rsidR="001E4605">
        <w:t>,</w:t>
      </w:r>
      <w:r>
        <w:t xml:space="preserve"> is </w:t>
      </w:r>
      <w:r w:rsidRPr="00040DD9">
        <w:rPr>
          <w:rFonts w:eastAsiaTheme="minorHAnsi"/>
        </w:rPr>
        <w:t xml:space="preserve">not deemed evidence of a comprehensive ear check. </w:t>
      </w:r>
      <w:r>
        <w:t xml:space="preserve">For </w:t>
      </w:r>
      <w:r w:rsidRPr="00040DD9">
        <w:rPr>
          <w:rFonts w:eastAsiaTheme="minorHAnsi"/>
        </w:rPr>
        <w:t>example:</w:t>
      </w:r>
    </w:p>
    <w:p w14:paraId="69FF983A" w14:textId="243E9E79" w:rsidR="006954D1" w:rsidRPr="00123A67" w:rsidRDefault="006954D1" w:rsidP="006954D1">
      <w:pPr>
        <w:pStyle w:val="BulletSH"/>
      </w:pPr>
      <w:r w:rsidRPr="00123A67">
        <w:t>Hearing tests are excluded because the</w:t>
      </w:r>
      <w:r w:rsidR="001E4605">
        <w:t>re is insufficient information</w:t>
      </w:r>
      <w:r w:rsidRPr="00123A67">
        <w:t xml:space="preserve"> to confirm the assessment of appearance and</w:t>
      </w:r>
      <w:r w:rsidR="001E4605">
        <w:t>/</w:t>
      </w:r>
      <w:r w:rsidRPr="00123A67">
        <w:t>or movement</w:t>
      </w:r>
      <w:r w:rsidR="000C4659">
        <w:t>.</w:t>
      </w:r>
    </w:p>
    <w:p w14:paraId="0D7FC948" w14:textId="77777777" w:rsidR="006954D1" w:rsidRDefault="006954D1" w:rsidP="006954D1">
      <w:pPr>
        <w:pStyle w:val="BulletSH"/>
      </w:pPr>
      <w:r w:rsidRPr="00123A67">
        <w:t>Hearing loss is also excluded.</w:t>
      </w:r>
    </w:p>
    <w:p w14:paraId="310FE4C6" w14:textId="1E034931" w:rsidR="00166EFE" w:rsidRPr="00166EFE" w:rsidRDefault="000D0F57" w:rsidP="00D8110A">
      <w:pPr>
        <w:pStyle w:val="BodytextSH"/>
      </w:pPr>
      <w:r w:rsidRPr="000D0F57">
        <w:rPr>
          <w:rStyle w:val="Strong"/>
        </w:rPr>
        <w:t>TIP:</w:t>
      </w:r>
      <w:r>
        <w:rPr>
          <w:rStyle w:val="Strong"/>
          <w:b w:val="0"/>
          <w:bCs w:val="0"/>
        </w:rPr>
        <w:t xml:space="preserve"> </w:t>
      </w:r>
      <w:r w:rsidR="00166EFE" w:rsidRPr="00166EFE">
        <w:rPr>
          <w:rStyle w:val="Strong"/>
          <w:b w:val="0"/>
          <w:bCs w:val="0"/>
        </w:rPr>
        <w:t xml:space="preserve">Un-coded 'free text' fields are excluded from nKPI reporting. </w:t>
      </w:r>
      <w:r w:rsidR="00166EFE" w:rsidRPr="00166EFE">
        <w:t>Procedures or conditions must be selected from the available coded / pick-list options (i.e. not typed</w:t>
      </w:r>
      <w:r w:rsidR="0092371A">
        <w:t xml:space="preserve"> as free text</w:t>
      </w:r>
      <w:r w:rsidR="00166EFE" w:rsidRPr="00166EFE">
        <w:t>).</w:t>
      </w:r>
    </w:p>
    <w:p w14:paraId="43824F42" w14:textId="59C53E57" w:rsidR="0097240D" w:rsidRDefault="00FC1D75" w:rsidP="00BD04B9">
      <w:pPr>
        <w:pStyle w:val="BodytextSH"/>
      </w:pPr>
      <w:r>
        <w:t xml:space="preserve">Knowing which procedures and conditions are included will help you determine when an ear health check </w:t>
      </w:r>
      <w:r w:rsidR="00333CF7">
        <w:t>will</w:t>
      </w:r>
      <w:r>
        <w:t xml:space="preserve"> be counted</w:t>
      </w:r>
      <w:r w:rsidR="00333CF7">
        <w:t>.</w:t>
      </w:r>
      <w:r w:rsidR="004F107C">
        <w:t xml:space="preserve"> </w:t>
      </w:r>
      <w:r w:rsidR="004269B6">
        <w:t>These are documented in the ear health coding framework (Specifications: Appendix E, Section 6)</w:t>
      </w:r>
      <w:r w:rsidR="004F107C">
        <w:t>.</w:t>
      </w:r>
    </w:p>
    <w:p w14:paraId="58CB17BA" w14:textId="0DA610E3" w:rsidR="006210D2" w:rsidRPr="00254B3F" w:rsidRDefault="00ED1F81" w:rsidP="00592C46">
      <w:pPr>
        <w:pStyle w:val="BodytextSH"/>
      </w:pPr>
      <w:r w:rsidRPr="00ED1F81">
        <w:rPr>
          <w:b/>
          <w:bCs/>
        </w:rPr>
        <w:t>TIP:</w:t>
      </w:r>
      <w:r>
        <w:t xml:space="preserve"> </w:t>
      </w:r>
      <w:r w:rsidR="00D90BD6">
        <w:t xml:space="preserve">If your service uses an audiologist to </w:t>
      </w:r>
      <w:r w:rsidR="009A5678">
        <w:t>perform</w:t>
      </w:r>
      <w:r w:rsidR="00D90BD6">
        <w:t xml:space="preserve"> ear health assessments </w:t>
      </w:r>
      <w:r w:rsidR="000F777F">
        <w:t>that include an appearance and movement check</w:t>
      </w:r>
      <w:r w:rsidR="00B42EE9">
        <w:t xml:space="preserve"> </w:t>
      </w:r>
      <w:r w:rsidR="00A66C46">
        <w:t xml:space="preserve">consider how to record this for the activity to </w:t>
      </w:r>
      <w:r w:rsidR="00A07908">
        <w:t>be counted in nKPI reports</w:t>
      </w:r>
      <w:r w:rsidR="00A66C46">
        <w:t xml:space="preserve">. </w:t>
      </w:r>
      <w:r w:rsidR="00D90BD6">
        <w:t xml:space="preserve">For the assessment to </w:t>
      </w:r>
      <w:r w:rsidR="007F76F8">
        <w:t xml:space="preserve">be </w:t>
      </w:r>
      <w:r w:rsidR="00D90BD6">
        <w:t>count</w:t>
      </w:r>
      <w:r w:rsidR="007F76F8">
        <w:t>ed</w:t>
      </w:r>
      <w:r w:rsidR="00D90BD6">
        <w:t xml:space="preserve">, a </w:t>
      </w:r>
      <w:r w:rsidR="007F76F8">
        <w:t xml:space="preserve">valid </w:t>
      </w:r>
      <w:r w:rsidR="00D90BD6">
        <w:t>coded procedure or condition</w:t>
      </w:r>
      <w:r w:rsidR="007F76F8">
        <w:t xml:space="preserve"> must be recorded</w:t>
      </w:r>
      <w:r w:rsidR="00D90BD6">
        <w:t>.</w:t>
      </w:r>
      <w:r w:rsidR="00681685">
        <w:t xml:space="preserve"> </w:t>
      </w:r>
      <w:r w:rsidR="000E1EF0">
        <w:t xml:space="preserve">If the audiologist doesn’t have access to the CIS, </w:t>
      </w:r>
      <w:r w:rsidR="00E95F8C">
        <w:t>perhaps</w:t>
      </w:r>
      <w:r w:rsidR="00681685">
        <w:t xml:space="preserve"> a practice nurse or Aboriginal Health Worker </w:t>
      </w:r>
      <w:r w:rsidR="00FA22F6">
        <w:t>may be able to</w:t>
      </w:r>
      <w:r w:rsidR="00970114">
        <w:t xml:space="preserve"> assist with</w:t>
      </w:r>
      <w:r w:rsidR="00E95F8C">
        <w:t xml:space="preserve"> t</w:t>
      </w:r>
      <w:r w:rsidR="00070D53">
        <w:t>his</w:t>
      </w:r>
      <w:r w:rsidR="00970114">
        <w:t>.</w:t>
      </w:r>
    </w:p>
    <w:p w14:paraId="2D6478FC" w14:textId="41A08A15" w:rsidR="00335F33" w:rsidRDefault="00F561C4" w:rsidP="00BD04B9">
      <w:pPr>
        <w:pStyle w:val="BodytextSH"/>
      </w:pPr>
      <w:r>
        <w:t>A</w:t>
      </w:r>
      <w:r w:rsidR="009D43D0">
        <w:t>ny qualifiers</w:t>
      </w:r>
      <w:r w:rsidR="00BE2D91">
        <w:t xml:space="preserve"> used in local clinical items </w:t>
      </w:r>
      <w:r w:rsidR="00813959">
        <w:t>must be</w:t>
      </w:r>
      <w:r w:rsidR="00BE2D91">
        <w:t xml:space="preserve"> tagged with the relevant</w:t>
      </w:r>
      <w:r w:rsidR="00AC243C">
        <w:t xml:space="preserve"> export and system codes</w:t>
      </w:r>
      <w:r w:rsidR="00813959">
        <w:t xml:space="preserve"> for the Communicare reporting tools to count them.</w:t>
      </w:r>
      <w:r w:rsidR="00AC243C">
        <w:t xml:space="preserve"> </w:t>
      </w:r>
    </w:p>
    <w:p w14:paraId="66CC413D" w14:textId="3F327276" w:rsidR="00DD5F58" w:rsidRDefault="00DD5F58" w:rsidP="00BD04B9">
      <w:pPr>
        <w:pStyle w:val="BodytextSH"/>
      </w:pPr>
      <w:r w:rsidRPr="005E29E7">
        <w:rPr>
          <w:b/>
          <w:bCs/>
        </w:rPr>
        <w:t>N</w:t>
      </w:r>
      <w:r w:rsidR="00BD0C02">
        <w:rPr>
          <w:b/>
          <w:bCs/>
        </w:rPr>
        <w:t>OTE</w:t>
      </w:r>
      <w:r w:rsidR="00EE77E1" w:rsidRPr="005E29E7">
        <w:rPr>
          <w:b/>
          <w:bCs/>
        </w:rPr>
        <w:t>:</w:t>
      </w:r>
      <w:r w:rsidR="000203F0">
        <w:t xml:space="preserve"> A</w:t>
      </w:r>
      <w:r w:rsidR="00BD0C02">
        <w:t>n error</w:t>
      </w:r>
      <w:r w:rsidR="000203F0">
        <w:t xml:space="preserve"> in Communicare </w:t>
      </w:r>
      <w:r w:rsidR="00AE50E0">
        <w:t xml:space="preserve">and GRT </w:t>
      </w:r>
      <w:r w:rsidR="000203F0">
        <w:t xml:space="preserve">reports was corrected for the January 2025 reporting round. Health services </w:t>
      </w:r>
      <w:r w:rsidR="00BD0C02">
        <w:t xml:space="preserve">should notice more accurate data reported but </w:t>
      </w:r>
      <w:r w:rsidR="000203F0">
        <w:t xml:space="preserve">may see a change in data over time </w:t>
      </w:r>
      <w:r w:rsidR="005E29E7">
        <w:t xml:space="preserve">in relation to </w:t>
      </w:r>
      <w:r w:rsidR="000203F0">
        <w:t xml:space="preserve">this </w:t>
      </w:r>
      <w:r w:rsidR="00A52178">
        <w:t>fix.</w:t>
      </w:r>
    </w:p>
    <w:p w14:paraId="2376CC5B" w14:textId="5DAE4ABD" w:rsidR="00D11A12" w:rsidRDefault="00D11A12" w:rsidP="00D11A12">
      <w:pPr>
        <w:pStyle w:val="BulletSH"/>
        <w:numPr>
          <w:ilvl w:val="0"/>
          <w:numId w:val="0"/>
        </w:numPr>
      </w:pPr>
      <w:r w:rsidRPr="00BD0C02">
        <w:rPr>
          <w:b/>
        </w:rPr>
        <w:t>NOTE:</w:t>
      </w:r>
      <w:r w:rsidRPr="00BD0C02">
        <w:t xml:space="preserve"> The indicator does specify that both the left and the right ear should be checked, unless the client only has one ear. However, </w:t>
      </w:r>
      <w:r w:rsidR="00BD0C02" w:rsidRPr="00BD0C02">
        <w:t>some</w:t>
      </w:r>
      <w:r w:rsidRPr="00BD0C02">
        <w:t xml:space="preserve"> CISs are limited in ability to accurately determine whether </w:t>
      </w:r>
      <w:r w:rsidR="00C06090">
        <w:t>a</w:t>
      </w:r>
      <w:r w:rsidR="00A52F0D">
        <w:t xml:space="preserve"> client has </w:t>
      </w:r>
      <w:r w:rsidRPr="00BD0C02">
        <w:t>one or both ears. Allowing for this limitation, the specifications state, ‘</w:t>
      </w:r>
      <w:r w:rsidRPr="00BD0C02">
        <w:rPr>
          <w:i/>
          <w:iCs/>
        </w:rPr>
        <w:t>If there is detail in the patient record specific to only the left or right ear the patient should still be included in the relevant measure code’</w:t>
      </w:r>
      <w:r w:rsidRPr="00BD0C02">
        <w:t xml:space="preserve">. </w:t>
      </w:r>
    </w:p>
    <w:p w14:paraId="7FC2F489" w14:textId="47E4F47D" w:rsidR="00086366" w:rsidRDefault="00086366" w:rsidP="00086366">
      <w:pPr>
        <w:pStyle w:val="BodytextSH"/>
      </w:pPr>
      <w:r>
        <w:t>Communicare does have the ability to record activities against left and right ear. A</w:t>
      </w:r>
      <w:r w:rsidRPr="00592C46">
        <w:t>ny record of left, or right, ear health observation</w:t>
      </w:r>
      <w:r>
        <w:t xml:space="preserve"> in </w:t>
      </w:r>
      <w:r w:rsidR="00D35D02">
        <w:t>Communicare</w:t>
      </w:r>
      <w:r w:rsidRPr="00592C46">
        <w:t xml:space="preserve">, </w:t>
      </w:r>
      <w:r>
        <w:t xml:space="preserve">is </w:t>
      </w:r>
      <w:r w:rsidRPr="00592C46">
        <w:t>counted in the indicator. For example, a tympanometry test will be counted if either ‘</w:t>
      </w:r>
      <w:r w:rsidRPr="00592C46">
        <w:rPr>
          <w:i/>
          <w:iCs/>
        </w:rPr>
        <w:t xml:space="preserve">Tympanometry </w:t>
      </w:r>
      <w:r w:rsidR="004F549A">
        <w:rPr>
          <w:i/>
          <w:iCs/>
        </w:rPr>
        <w:t>- r</w:t>
      </w:r>
      <w:r w:rsidRPr="00592C46">
        <w:rPr>
          <w:i/>
          <w:iCs/>
        </w:rPr>
        <w:t>ight’</w:t>
      </w:r>
      <w:r w:rsidRPr="00592C46">
        <w:t xml:space="preserve"> or ‘</w:t>
      </w:r>
      <w:r w:rsidRPr="00592C46">
        <w:rPr>
          <w:i/>
          <w:iCs/>
        </w:rPr>
        <w:t xml:space="preserve">Tympanometry </w:t>
      </w:r>
      <w:r w:rsidR="004F549A">
        <w:rPr>
          <w:i/>
          <w:iCs/>
        </w:rPr>
        <w:t>- l</w:t>
      </w:r>
      <w:r w:rsidRPr="00592C46">
        <w:rPr>
          <w:i/>
          <w:iCs/>
        </w:rPr>
        <w:t>eft’</w:t>
      </w:r>
      <w:r w:rsidRPr="00592C46">
        <w:t xml:space="preserve"> is recorded. </w:t>
      </w:r>
    </w:p>
    <w:p w14:paraId="66D7522C" w14:textId="46D7AF86" w:rsidR="003729C7" w:rsidRDefault="003729C7" w:rsidP="002B5DB3"/>
    <w:p w14:paraId="1120FF1B" w14:textId="64FA3EA9" w:rsidR="00CB706D" w:rsidRDefault="00D2226E" w:rsidP="003729C7">
      <w:pPr>
        <w:pStyle w:val="Heading1SH"/>
      </w:pPr>
      <w:r>
        <w:rPr>
          <w:noProof/>
        </w:rPr>
        <w:lastRenderedPageBreak/>
        <mc:AlternateContent>
          <mc:Choice Requires="wps">
            <w:drawing>
              <wp:anchor distT="0" distB="0" distL="114300" distR="114300" simplePos="0" relativeHeight="251658241" behindDoc="0" locked="0" layoutInCell="1" allowOverlap="1" wp14:anchorId="13D682EB" wp14:editId="0971E3AB">
                <wp:simplePos x="0" y="0"/>
                <wp:positionH relativeFrom="column">
                  <wp:posOffset>21102</wp:posOffset>
                </wp:positionH>
                <wp:positionV relativeFrom="paragraph">
                  <wp:posOffset>68580</wp:posOffset>
                </wp:positionV>
                <wp:extent cx="5542670" cy="1361872"/>
                <wp:effectExtent l="0" t="0" r="7620" b="10160"/>
                <wp:wrapNone/>
                <wp:docPr id="1928826361" name="Text Box 1"/>
                <wp:cNvGraphicFramePr/>
                <a:graphic xmlns:a="http://schemas.openxmlformats.org/drawingml/2006/main">
                  <a:graphicData uri="http://schemas.microsoft.com/office/word/2010/wordprocessingShape">
                    <wps:wsp>
                      <wps:cNvSpPr txBox="1"/>
                      <wps:spPr>
                        <a:xfrm>
                          <a:off x="0" y="0"/>
                          <a:ext cx="5542670" cy="1361872"/>
                        </a:xfrm>
                        <a:prstGeom prst="roundRect">
                          <a:avLst/>
                        </a:prstGeom>
                        <a:solidFill>
                          <a:srgbClr val="CCEDEB"/>
                        </a:solidFill>
                        <a:ln w="6350">
                          <a:solidFill>
                            <a:srgbClr val="1AA4A0"/>
                          </a:solidFill>
                        </a:ln>
                        <a:effectLst>
                          <a:softEdge rad="0"/>
                        </a:effectLst>
                      </wps:spPr>
                      <wps:txbx>
                        <w:txbxContent>
                          <w:p w14:paraId="3B0222BC" w14:textId="65AAE601" w:rsidR="002438D7" w:rsidRDefault="002438D7" w:rsidP="00592C46">
                            <w:pPr>
                              <w:pStyle w:val="BodytextSH"/>
                            </w:pPr>
                            <w:r>
                              <w:t>Key takeaway(s):</w:t>
                            </w:r>
                          </w:p>
                          <w:p w14:paraId="6CC8B897" w14:textId="4E81D8AF" w:rsidR="00CB706D" w:rsidRPr="0085228D" w:rsidRDefault="000A70D1" w:rsidP="00592C46">
                            <w:pPr>
                              <w:pStyle w:val="BulletSH"/>
                            </w:pPr>
                            <w:r>
                              <w:t xml:space="preserve">Although </w:t>
                            </w:r>
                            <w:r w:rsidR="00CB706D" w:rsidRPr="0085228D">
                              <w:t>PI26 is complex</w:t>
                            </w:r>
                            <w:r>
                              <w:t>,</w:t>
                            </w:r>
                            <w:r w:rsidR="006A09DF">
                              <w:t xml:space="preserve"> options exist in </w:t>
                            </w:r>
                            <w:r w:rsidR="0020743C">
                              <w:t>each</w:t>
                            </w:r>
                            <w:r w:rsidR="006A09DF">
                              <w:t xml:space="preserve"> CIS to record ear checks so they are counted</w:t>
                            </w:r>
                            <w:r w:rsidR="002E312C">
                              <w:t xml:space="preserve"> for reporting</w:t>
                            </w:r>
                            <w:r w:rsidR="006A09DF">
                              <w:t>.</w:t>
                            </w:r>
                          </w:p>
                          <w:p w14:paraId="26CC6897" w14:textId="78B02730" w:rsidR="00CB706D" w:rsidRPr="0085228D" w:rsidRDefault="006A09DF" w:rsidP="00592C46">
                            <w:pPr>
                              <w:pStyle w:val="BulletSH"/>
                            </w:pPr>
                            <w:r>
                              <w:t>Know</w:t>
                            </w:r>
                            <w:r w:rsidR="0085228D" w:rsidRPr="0085228D">
                              <w:t xml:space="preserve"> where to record ear check data in your CIS and share that information within your health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682EB" id="Text Box 1" o:spid="_x0000_s1026" style="position:absolute;margin-left:1.65pt;margin-top:5.4pt;width:436.45pt;height:10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" fillcolor="#ccedeb" strokecolor="#1aa4a0" strokeweight=".5pt">
                <v:textbox>
                  <w:txbxContent>
                    <w:p w14:paraId="3B0222BC" w14:textId="65AAE601" w:rsidR="002438D7" w:rsidRDefault="002438D7" w:rsidP="00592C46">
                      <w:pPr>
                        <w:pStyle w:val="BodytextSH"/>
                      </w:pPr>
                      <w:r>
                        <w:t>Key takeaway(s):</w:t>
                      </w:r>
                    </w:p>
                    <w:p w14:paraId="6CC8B897" w14:textId="4E81D8AF" w:rsidR="00CB706D" w:rsidRPr="0085228D" w:rsidRDefault="000A70D1" w:rsidP="00592C46">
                      <w:pPr>
                        <w:pStyle w:val="BulletSH"/>
                      </w:pPr>
                      <w:r>
                        <w:t xml:space="preserve">Although </w:t>
                      </w:r>
                      <w:r w:rsidR="00CB706D" w:rsidRPr="0085228D">
                        <w:t>PI26 is complex</w:t>
                      </w:r>
                      <w:r>
                        <w:t>,</w:t>
                      </w:r>
                      <w:r w:rsidR="006A09DF">
                        <w:t xml:space="preserve"> options exist in </w:t>
                      </w:r>
                      <w:r w:rsidR="0020743C">
                        <w:t>each</w:t>
                      </w:r>
                      <w:r w:rsidR="006A09DF">
                        <w:t xml:space="preserve"> CIS to record ear checks so they are counted</w:t>
                      </w:r>
                      <w:r w:rsidR="002E312C">
                        <w:t xml:space="preserve"> for reporting</w:t>
                      </w:r>
                      <w:r w:rsidR="006A09DF">
                        <w:t>.</w:t>
                      </w:r>
                    </w:p>
                    <w:p w14:paraId="26CC6897" w14:textId="78B02730" w:rsidR="00CB706D" w:rsidRPr="0085228D" w:rsidRDefault="006A09DF" w:rsidP="00592C46">
                      <w:pPr>
                        <w:pStyle w:val="BulletSH"/>
                      </w:pPr>
                      <w:r>
                        <w:t>Know</w:t>
                      </w:r>
                      <w:r w:rsidR="0085228D" w:rsidRPr="0085228D">
                        <w:t xml:space="preserve"> where to record ear check data in your CIS and share that information within your health service.</w:t>
                      </w:r>
                    </w:p>
                  </w:txbxContent>
                </v:textbox>
              </v:roundrect>
            </w:pict>
          </mc:Fallback>
        </mc:AlternateContent>
      </w:r>
    </w:p>
    <w:p w14:paraId="36FD0FA5" w14:textId="77777777" w:rsidR="00D2226E" w:rsidRDefault="00D2226E" w:rsidP="003729C7">
      <w:pPr>
        <w:pStyle w:val="Heading1SH"/>
      </w:pPr>
    </w:p>
    <w:p w14:paraId="28E939DA" w14:textId="77777777" w:rsidR="00D2226E" w:rsidRDefault="00D2226E" w:rsidP="003729C7">
      <w:pPr>
        <w:pStyle w:val="Heading1SH"/>
      </w:pPr>
    </w:p>
    <w:p w14:paraId="565ADC97" w14:textId="77777777" w:rsidR="00D2226E" w:rsidRDefault="00D2226E" w:rsidP="003729C7">
      <w:pPr>
        <w:pStyle w:val="Heading1SH"/>
      </w:pPr>
    </w:p>
    <w:p w14:paraId="05E7139A" w14:textId="512A1455" w:rsidR="003729C7" w:rsidRDefault="003729C7" w:rsidP="003729C7">
      <w:pPr>
        <w:pStyle w:val="Heading1SH"/>
      </w:pPr>
      <w:r>
        <w:t>Resources</w:t>
      </w:r>
    </w:p>
    <w:p w14:paraId="189B470D" w14:textId="77777777" w:rsidR="00592C46" w:rsidRPr="00C05B9C" w:rsidRDefault="00592C46" w:rsidP="00592C46">
      <w:pPr>
        <w:pStyle w:val="BodytextSH"/>
        <w:rPr>
          <w:rStyle w:val="eop"/>
          <w:szCs w:val="22"/>
        </w:rPr>
      </w:pPr>
      <w:r>
        <w:rPr>
          <w:rStyle w:val="normaltextrun"/>
          <w:rFonts w:cs="Arial"/>
          <w:color w:val="000000"/>
          <w:szCs w:val="22"/>
          <w:shd w:val="clear" w:color="auto" w:fill="FFFFFF"/>
        </w:rPr>
        <w:t>Links to supporting documents, information and further reading:</w:t>
      </w:r>
      <w:r>
        <w:rPr>
          <w:rStyle w:val="eop"/>
          <w:rFonts w:cs="Arial"/>
          <w:color w:val="000000"/>
          <w:szCs w:val="22"/>
          <w:shd w:val="clear" w:color="auto" w:fill="FFFFFF"/>
        </w:rPr>
        <w:t> </w:t>
      </w:r>
    </w:p>
    <w:p w14:paraId="306096DC" w14:textId="26C00ECA" w:rsidR="003729C7" w:rsidRDefault="003729C7" w:rsidP="003729C7">
      <w:pPr>
        <w:pStyle w:val="BulletSH"/>
      </w:pPr>
      <w:r w:rsidRPr="00592C46">
        <w:rPr>
          <w:b/>
          <w:bCs w:val="0"/>
        </w:rPr>
        <w:t>Specifications for nKPI and OSR</w:t>
      </w:r>
      <w:r w:rsidR="000A737F" w:rsidRPr="00592C46">
        <w:rPr>
          <w:b/>
          <w:bCs w:val="0"/>
        </w:rPr>
        <w:t>:</w:t>
      </w:r>
      <w:r w:rsidR="000A737F">
        <w:t xml:space="preserve"> </w:t>
      </w:r>
      <w:r w:rsidR="00B9360B">
        <w:t>T</w:t>
      </w:r>
      <w:r w:rsidR="00AE1747">
        <w:t xml:space="preserve">his document outlines the counting rules for PI26 in detail. Appendix E, Section 6 includes a list of the procedure and condition codes and terms that are either included or excluded. Section 6.5 explains how each vendor has implemented the ear health counting rules. </w:t>
      </w:r>
      <w:r w:rsidR="00592C46">
        <w:t>Access</w:t>
      </w:r>
      <w:r w:rsidR="00AE1747">
        <w:t xml:space="preserve"> the full Specifications here: </w:t>
      </w:r>
      <w:hyperlink r:id="rId14" w:tgtFrame="_new" w:history="1">
        <w:r w:rsidR="00AE1747">
          <w:rPr>
            <w:rStyle w:val="Hyperlink"/>
          </w:rPr>
          <w:t>https://www.solvinghealth.au/specifications</w:t>
        </w:r>
      </w:hyperlink>
      <w:r w:rsidR="00AE1747">
        <w:t>.</w:t>
      </w:r>
    </w:p>
    <w:p w14:paraId="2B05D354" w14:textId="19C017EE" w:rsidR="00047304" w:rsidRDefault="00047304" w:rsidP="003729C7">
      <w:pPr>
        <w:pStyle w:val="BulletSH"/>
      </w:pPr>
      <w:r w:rsidRPr="00592C46">
        <w:rPr>
          <w:b/>
          <w:bCs w:val="0"/>
        </w:rPr>
        <w:t xml:space="preserve">CIS </w:t>
      </w:r>
      <w:r w:rsidR="008051F8" w:rsidRPr="00592C46">
        <w:rPr>
          <w:b/>
          <w:bCs w:val="0"/>
        </w:rPr>
        <w:t>User Guides</w:t>
      </w:r>
      <w:r w:rsidR="0030515D" w:rsidRPr="00592C46">
        <w:rPr>
          <w:b/>
          <w:bCs w:val="0"/>
        </w:rPr>
        <w:t>:</w:t>
      </w:r>
      <w:r w:rsidR="0030515D">
        <w:t xml:space="preserve"> These</w:t>
      </w:r>
      <w:r w:rsidR="008051F8">
        <w:t xml:space="preserve"> </w:t>
      </w:r>
      <w:r w:rsidR="00AB730A">
        <w:t>explain how each vendor reports P</w:t>
      </w:r>
      <w:r w:rsidR="0030515D">
        <w:t>I</w:t>
      </w:r>
      <w:r w:rsidR="00AB730A">
        <w:t xml:space="preserve">26 and where data need to be recorded to </w:t>
      </w:r>
      <w:r w:rsidR="00526DFB">
        <w:t xml:space="preserve">optimise reporting. Refer to the article CIS User Guides for links or visit </w:t>
      </w:r>
      <w:r w:rsidR="005243BD">
        <w:t xml:space="preserve">the link in the </w:t>
      </w:r>
      <w:r w:rsidR="00592C46">
        <w:t>Specifications (</w:t>
      </w:r>
      <w:r w:rsidR="005243BD">
        <w:t>dot point above</w:t>
      </w:r>
      <w:r w:rsidR="00592C46">
        <w:t>) which has links to vendor documents at the end of the web page</w:t>
      </w:r>
      <w:r w:rsidR="005243BD">
        <w:t>.</w:t>
      </w:r>
    </w:p>
    <w:p w14:paraId="3087AA44" w14:textId="5BC44757" w:rsidR="00592C46" w:rsidRDefault="00592C46" w:rsidP="00592C46">
      <w:pPr>
        <w:pStyle w:val="BodytextSH"/>
      </w:pPr>
      <w:r>
        <w:rPr>
          <w:rStyle w:val="normaltextrun"/>
          <w:rFonts w:cs="Arial"/>
          <w:color w:val="000000"/>
          <w:szCs w:val="22"/>
          <w:shd w:val="clear" w:color="auto" w:fill="FFFFFF"/>
        </w:rPr>
        <w:t xml:space="preserve">For more data management tips see the other articles in this series available at: </w:t>
      </w:r>
      <w:hyperlink r:id="rId15" w:anchor="ClinicalInformationSystem(CIS)EducationArticles" w:history="1">
        <w:r w:rsidR="002F7013" w:rsidRPr="000538E7">
          <w:rPr>
            <w:rStyle w:val="Hyperlink"/>
            <w:rFonts w:cs="Arial"/>
            <w:szCs w:val="22"/>
            <w:shd w:val="clear" w:color="auto" w:fill="FFFFFF"/>
          </w:rPr>
          <w:t>Clinical Information System (CIS) Education Articles</w:t>
        </w:r>
      </w:hyperlink>
    </w:p>
    <w:p w14:paraId="3B972632" w14:textId="77777777" w:rsidR="002B5DB3" w:rsidRDefault="002B5DB3" w:rsidP="002B5DB3"/>
    <w:p w14:paraId="1B0CA339" w14:textId="19275AB6" w:rsidR="00AF0FD7" w:rsidRDefault="00AF0FD7" w:rsidP="002B5DB3"/>
    <w:sectPr w:rsidR="00AF0FD7" w:rsidSect="002B5DB3">
      <w:footerReference w:type="default" r:id="rId16"/>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73A0" w14:textId="77777777" w:rsidR="00B32BC0" w:rsidRDefault="00B32BC0" w:rsidP="00AD66D6">
      <w:r>
        <w:separator/>
      </w:r>
    </w:p>
  </w:endnote>
  <w:endnote w:type="continuationSeparator" w:id="0">
    <w:p w14:paraId="165C59AE" w14:textId="77777777" w:rsidR="00B32BC0" w:rsidRDefault="00B32BC0" w:rsidP="00AD66D6">
      <w:r>
        <w:continuationSeparator/>
      </w:r>
    </w:p>
  </w:endnote>
  <w:endnote w:type="continuationNotice" w:id="1">
    <w:p w14:paraId="5F506428" w14:textId="77777777" w:rsidR="00B32BC0" w:rsidRDefault="00B32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dy CS)">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4093814E" w:rsidR="00AD66D6" w:rsidRPr="00E112B8" w:rsidRDefault="00AD66D6" w:rsidP="00AD66D6">
    <w:pPr>
      <w:pStyle w:val="FooterSH"/>
      <w:tabs>
        <w:tab w:val="right" w:pos="8931"/>
      </w:tabs>
      <w:ind w:right="-6"/>
      <w:rPr>
        <w:color w:val="505050"/>
      </w:rPr>
    </w:pPr>
    <w:r w:rsidRPr="00E112B8">
      <w:rPr>
        <w:color w:val="505050"/>
      </w:rPr>
      <w:tab/>
    </w:r>
    <w:r w:rsidRPr="00E112B8">
      <w:rPr>
        <w:color w:val="505050"/>
      </w:rPr>
      <w:fldChar w:fldCharType="begin"/>
    </w:r>
    <w:r w:rsidRPr="00E112B8">
      <w:rPr>
        <w:color w:val="505050"/>
      </w:rPr>
      <w:instrText xml:space="preserve"> PAGE </w:instrText>
    </w:r>
    <w:r w:rsidRPr="00E112B8">
      <w:rPr>
        <w:color w:val="505050"/>
      </w:rPr>
      <w:fldChar w:fldCharType="separate"/>
    </w:r>
    <w:r w:rsidRPr="00E112B8">
      <w:rPr>
        <w:color w:val="505050"/>
      </w:rPr>
      <w:t>1</w:t>
    </w:r>
    <w:r w:rsidRPr="00E112B8">
      <w:rPr>
        <w:color w:val="505050"/>
      </w:rP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88F4" w14:textId="77777777" w:rsidR="00B32BC0" w:rsidRDefault="00B32BC0" w:rsidP="00AD66D6">
      <w:r>
        <w:separator/>
      </w:r>
    </w:p>
  </w:footnote>
  <w:footnote w:type="continuationSeparator" w:id="0">
    <w:p w14:paraId="1B062602" w14:textId="77777777" w:rsidR="00B32BC0" w:rsidRDefault="00B32BC0" w:rsidP="00AD66D6">
      <w:r>
        <w:continuationSeparator/>
      </w:r>
    </w:p>
  </w:footnote>
  <w:footnote w:type="continuationNotice" w:id="1">
    <w:p w14:paraId="78BDD1EA" w14:textId="77777777" w:rsidR="00B32BC0" w:rsidRDefault="00B32B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F9C4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2B14C5"/>
    <w:multiLevelType w:val="multilevel"/>
    <w:tmpl w:val="F0189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8D21A5"/>
    <w:multiLevelType w:val="multilevel"/>
    <w:tmpl w:val="C2A6E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B3E11"/>
    <w:multiLevelType w:val="hybridMultilevel"/>
    <w:tmpl w:val="352C675A"/>
    <w:lvl w:ilvl="0" w:tplc="7AA44186">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0E6561A"/>
    <w:multiLevelType w:val="hybridMultilevel"/>
    <w:tmpl w:val="62A246A4"/>
    <w:lvl w:ilvl="0" w:tplc="75E8AA60">
      <w:start w:val="1"/>
      <w:numFmt w:val="decimal"/>
      <w:pStyle w:val="Numberedlist-S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AEB246"/>
    <w:multiLevelType w:val="hybridMultilevel"/>
    <w:tmpl w:val="7CE8666E"/>
    <w:lvl w:ilvl="0" w:tplc="00C84382">
      <w:start w:val="1"/>
      <w:numFmt w:val="bullet"/>
      <w:lvlText w:val=""/>
      <w:lvlJc w:val="left"/>
      <w:pPr>
        <w:ind w:left="720" w:hanging="360"/>
      </w:pPr>
      <w:rPr>
        <w:rFonts w:ascii="Symbol" w:hAnsi="Symbol" w:hint="default"/>
      </w:rPr>
    </w:lvl>
    <w:lvl w:ilvl="1" w:tplc="5EB23CA8">
      <w:start w:val="1"/>
      <w:numFmt w:val="bullet"/>
      <w:lvlText w:val="o"/>
      <w:lvlJc w:val="left"/>
      <w:pPr>
        <w:ind w:left="1440" w:hanging="360"/>
      </w:pPr>
      <w:rPr>
        <w:rFonts w:ascii="Courier New" w:hAnsi="Courier New" w:hint="default"/>
      </w:rPr>
    </w:lvl>
    <w:lvl w:ilvl="2" w:tplc="5560AF08">
      <w:start w:val="1"/>
      <w:numFmt w:val="bullet"/>
      <w:lvlText w:val=""/>
      <w:lvlJc w:val="left"/>
      <w:pPr>
        <w:ind w:left="2160" w:hanging="360"/>
      </w:pPr>
      <w:rPr>
        <w:rFonts w:ascii="Wingdings" w:hAnsi="Wingdings" w:hint="default"/>
      </w:rPr>
    </w:lvl>
    <w:lvl w:ilvl="3" w:tplc="5F86120E">
      <w:start w:val="1"/>
      <w:numFmt w:val="bullet"/>
      <w:lvlText w:val=""/>
      <w:lvlJc w:val="left"/>
      <w:pPr>
        <w:ind w:left="2880" w:hanging="360"/>
      </w:pPr>
      <w:rPr>
        <w:rFonts w:ascii="Symbol" w:hAnsi="Symbol" w:hint="default"/>
      </w:rPr>
    </w:lvl>
    <w:lvl w:ilvl="4" w:tplc="10B41D7C">
      <w:start w:val="1"/>
      <w:numFmt w:val="bullet"/>
      <w:lvlText w:val="o"/>
      <w:lvlJc w:val="left"/>
      <w:pPr>
        <w:ind w:left="3600" w:hanging="360"/>
      </w:pPr>
      <w:rPr>
        <w:rFonts w:ascii="Courier New" w:hAnsi="Courier New" w:hint="default"/>
      </w:rPr>
    </w:lvl>
    <w:lvl w:ilvl="5" w:tplc="5EECE210">
      <w:start w:val="1"/>
      <w:numFmt w:val="bullet"/>
      <w:lvlText w:val=""/>
      <w:lvlJc w:val="left"/>
      <w:pPr>
        <w:ind w:left="4320" w:hanging="360"/>
      </w:pPr>
      <w:rPr>
        <w:rFonts w:ascii="Wingdings" w:hAnsi="Wingdings" w:hint="default"/>
      </w:rPr>
    </w:lvl>
    <w:lvl w:ilvl="6" w:tplc="24067BEA">
      <w:start w:val="1"/>
      <w:numFmt w:val="bullet"/>
      <w:lvlText w:val=""/>
      <w:lvlJc w:val="left"/>
      <w:pPr>
        <w:ind w:left="5040" w:hanging="360"/>
      </w:pPr>
      <w:rPr>
        <w:rFonts w:ascii="Symbol" w:hAnsi="Symbol" w:hint="default"/>
      </w:rPr>
    </w:lvl>
    <w:lvl w:ilvl="7" w:tplc="5E52D85A">
      <w:start w:val="1"/>
      <w:numFmt w:val="bullet"/>
      <w:lvlText w:val="o"/>
      <w:lvlJc w:val="left"/>
      <w:pPr>
        <w:ind w:left="5760" w:hanging="360"/>
      </w:pPr>
      <w:rPr>
        <w:rFonts w:ascii="Courier New" w:hAnsi="Courier New" w:hint="default"/>
      </w:rPr>
    </w:lvl>
    <w:lvl w:ilvl="8" w:tplc="B4F801A2">
      <w:start w:val="1"/>
      <w:numFmt w:val="bullet"/>
      <w:lvlText w:val=""/>
      <w:lvlJc w:val="left"/>
      <w:pPr>
        <w:ind w:left="6480" w:hanging="360"/>
      </w:pPr>
      <w:rPr>
        <w:rFonts w:ascii="Wingdings" w:hAnsi="Wingdings" w:hint="default"/>
      </w:rPr>
    </w:lvl>
  </w:abstractNum>
  <w:abstractNum w:abstractNumId="9" w15:restartNumberingAfterBreak="0">
    <w:nsid w:val="76851E88"/>
    <w:multiLevelType w:val="hybridMultilevel"/>
    <w:tmpl w:val="149636F6"/>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166169726">
    <w:abstractNumId w:val="7"/>
  </w:num>
  <w:num w:numId="2" w16cid:durableId="198860622">
    <w:abstractNumId w:val="3"/>
  </w:num>
  <w:num w:numId="3" w16cid:durableId="409347149">
    <w:abstractNumId w:val="9"/>
  </w:num>
  <w:num w:numId="4" w16cid:durableId="995886109">
    <w:abstractNumId w:val="1"/>
  </w:num>
  <w:num w:numId="5" w16cid:durableId="1125780107">
    <w:abstractNumId w:val="4"/>
  </w:num>
  <w:num w:numId="6" w16cid:durableId="1115296088">
    <w:abstractNumId w:val="1"/>
  </w:num>
  <w:num w:numId="7" w16cid:durableId="1995451131">
    <w:abstractNumId w:val="5"/>
  </w:num>
  <w:num w:numId="8" w16cid:durableId="1428113319">
    <w:abstractNumId w:val="2"/>
  </w:num>
  <w:num w:numId="9" w16cid:durableId="780998198">
    <w:abstractNumId w:val="8"/>
  </w:num>
  <w:num w:numId="10" w16cid:durableId="917440557">
    <w:abstractNumId w:val="6"/>
  </w:num>
  <w:num w:numId="11" w16cid:durableId="197525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1114"/>
    <w:rsid w:val="0000629A"/>
    <w:rsid w:val="00010E82"/>
    <w:rsid w:val="00011005"/>
    <w:rsid w:val="00012424"/>
    <w:rsid w:val="000203F0"/>
    <w:rsid w:val="0002472C"/>
    <w:rsid w:val="00025970"/>
    <w:rsid w:val="00025FD1"/>
    <w:rsid w:val="00030DA1"/>
    <w:rsid w:val="00034497"/>
    <w:rsid w:val="000361B9"/>
    <w:rsid w:val="000367D1"/>
    <w:rsid w:val="000406C2"/>
    <w:rsid w:val="000440BB"/>
    <w:rsid w:val="00047304"/>
    <w:rsid w:val="00050096"/>
    <w:rsid w:val="00051255"/>
    <w:rsid w:val="000518E6"/>
    <w:rsid w:val="00052090"/>
    <w:rsid w:val="000538E7"/>
    <w:rsid w:val="00057DFB"/>
    <w:rsid w:val="0006187C"/>
    <w:rsid w:val="00065A15"/>
    <w:rsid w:val="00070D53"/>
    <w:rsid w:val="00070EC3"/>
    <w:rsid w:val="00070ECB"/>
    <w:rsid w:val="00073CCF"/>
    <w:rsid w:val="000849A1"/>
    <w:rsid w:val="00086366"/>
    <w:rsid w:val="00091913"/>
    <w:rsid w:val="00093524"/>
    <w:rsid w:val="000956D1"/>
    <w:rsid w:val="000A23A2"/>
    <w:rsid w:val="000A70D1"/>
    <w:rsid w:val="000A737F"/>
    <w:rsid w:val="000B0291"/>
    <w:rsid w:val="000B58E9"/>
    <w:rsid w:val="000C0A78"/>
    <w:rsid w:val="000C4068"/>
    <w:rsid w:val="000C4659"/>
    <w:rsid w:val="000C7075"/>
    <w:rsid w:val="000D0F57"/>
    <w:rsid w:val="000D486C"/>
    <w:rsid w:val="000D5B70"/>
    <w:rsid w:val="000D79DB"/>
    <w:rsid w:val="000E12C0"/>
    <w:rsid w:val="000E1EF0"/>
    <w:rsid w:val="000E1F4A"/>
    <w:rsid w:val="000E5677"/>
    <w:rsid w:val="000E7DF5"/>
    <w:rsid w:val="000E7F83"/>
    <w:rsid w:val="000F269D"/>
    <w:rsid w:val="000F701F"/>
    <w:rsid w:val="000F777F"/>
    <w:rsid w:val="00120FBB"/>
    <w:rsid w:val="0012232D"/>
    <w:rsid w:val="00123A67"/>
    <w:rsid w:val="00124DBE"/>
    <w:rsid w:val="00125A60"/>
    <w:rsid w:val="00134F14"/>
    <w:rsid w:val="00137E89"/>
    <w:rsid w:val="00143050"/>
    <w:rsid w:val="00150A6F"/>
    <w:rsid w:val="00157724"/>
    <w:rsid w:val="0016067C"/>
    <w:rsid w:val="0016154C"/>
    <w:rsid w:val="0016187B"/>
    <w:rsid w:val="00162211"/>
    <w:rsid w:val="00166EFE"/>
    <w:rsid w:val="001706B0"/>
    <w:rsid w:val="001719A5"/>
    <w:rsid w:val="001732A3"/>
    <w:rsid w:val="00176A19"/>
    <w:rsid w:val="001801B1"/>
    <w:rsid w:val="00182153"/>
    <w:rsid w:val="00185650"/>
    <w:rsid w:val="001A01EA"/>
    <w:rsid w:val="001A27C6"/>
    <w:rsid w:val="001B3121"/>
    <w:rsid w:val="001B3CFB"/>
    <w:rsid w:val="001B7499"/>
    <w:rsid w:val="001C282D"/>
    <w:rsid w:val="001C566E"/>
    <w:rsid w:val="001C5AF4"/>
    <w:rsid w:val="001E09FB"/>
    <w:rsid w:val="001E4605"/>
    <w:rsid w:val="001E5391"/>
    <w:rsid w:val="001F0740"/>
    <w:rsid w:val="001F0D44"/>
    <w:rsid w:val="001F34BA"/>
    <w:rsid w:val="001F5DA2"/>
    <w:rsid w:val="001F6006"/>
    <w:rsid w:val="001F6D12"/>
    <w:rsid w:val="001F71F7"/>
    <w:rsid w:val="00200D2F"/>
    <w:rsid w:val="00203D0B"/>
    <w:rsid w:val="002042CB"/>
    <w:rsid w:val="0020743C"/>
    <w:rsid w:val="00207DE7"/>
    <w:rsid w:val="002169C1"/>
    <w:rsid w:val="00216F0B"/>
    <w:rsid w:val="00217B6B"/>
    <w:rsid w:val="0022185D"/>
    <w:rsid w:val="0022593B"/>
    <w:rsid w:val="00236B46"/>
    <w:rsid w:val="00237F9E"/>
    <w:rsid w:val="002438D7"/>
    <w:rsid w:val="00250629"/>
    <w:rsid w:val="00252676"/>
    <w:rsid w:val="00254B3F"/>
    <w:rsid w:val="00260D9C"/>
    <w:rsid w:val="00265B7A"/>
    <w:rsid w:val="0026730B"/>
    <w:rsid w:val="00271724"/>
    <w:rsid w:val="00271DAD"/>
    <w:rsid w:val="00275C7A"/>
    <w:rsid w:val="002847DA"/>
    <w:rsid w:val="00287764"/>
    <w:rsid w:val="00293004"/>
    <w:rsid w:val="002A074D"/>
    <w:rsid w:val="002A294F"/>
    <w:rsid w:val="002A376A"/>
    <w:rsid w:val="002A4F8A"/>
    <w:rsid w:val="002A6C63"/>
    <w:rsid w:val="002B04E0"/>
    <w:rsid w:val="002B0B90"/>
    <w:rsid w:val="002B5437"/>
    <w:rsid w:val="002B5DB3"/>
    <w:rsid w:val="002B64DD"/>
    <w:rsid w:val="002C00D7"/>
    <w:rsid w:val="002C0F0A"/>
    <w:rsid w:val="002C1E36"/>
    <w:rsid w:val="002D373E"/>
    <w:rsid w:val="002D3DDF"/>
    <w:rsid w:val="002D6A9C"/>
    <w:rsid w:val="002D6CCF"/>
    <w:rsid w:val="002D7962"/>
    <w:rsid w:val="002E1FF4"/>
    <w:rsid w:val="002E312C"/>
    <w:rsid w:val="002E3551"/>
    <w:rsid w:val="002E61C6"/>
    <w:rsid w:val="002E778B"/>
    <w:rsid w:val="002F15B8"/>
    <w:rsid w:val="002F5D71"/>
    <w:rsid w:val="002F7013"/>
    <w:rsid w:val="003009E9"/>
    <w:rsid w:val="00301986"/>
    <w:rsid w:val="0030515D"/>
    <w:rsid w:val="0031033E"/>
    <w:rsid w:val="003207FC"/>
    <w:rsid w:val="003235CB"/>
    <w:rsid w:val="00327B2D"/>
    <w:rsid w:val="003300D9"/>
    <w:rsid w:val="00332EA0"/>
    <w:rsid w:val="0033331B"/>
    <w:rsid w:val="00333358"/>
    <w:rsid w:val="00333CF7"/>
    <w:rsid w:val="00335F33"/>
    <w:rsid w:val="003417E8"/>
    <w:rsid w:val="0034570B"/>
    <w:rsid w:val="00347449"/>
    <w:rsid w:val="00347602"/>
    <w:rsid w:val="00352040"/>
    <w:rsid w:val="00361E34"/>
    <w:rsid w:val="00363733"/>
    <w:rsid w:val="0036557B"/>
    <w:rsid w:val="003729C7"/>
    <w:rsid w:val="0037478D"/>
    <w:rsid w:val="00375521"/>
    <w:rsid w:val="003759DA"/>
    <w:rsid w:val="00376B1E"/>
    <w:rsid w:val="00382274"/>
    <w:rsid w:val="00397116"/>
    <w:rsid w:val="003A01E5"/>
    <w:rsid w:val="003A25A9"/>
    <w:rsid w:val="003A281D"/>
    <w:rsid w:val="003A2FCA"/>
    <w:rsid w:val="003A3144"/>
    <w:rsid w:val="003A77B8"/>
    <w:rsid w:val="003B5245"/>
    <w:rsid w:val="003C2A97"/>
    <w:rsid w:val="003C6061"/>
    <w:rsid w:val="003C7312"/>
    <w:rsid w:val="003D07EC"/>
    <w:rsid w:val="003D07FD"/>
    <w:rsid w:val="003D549C"/>
    <w:rsid w:val="003D5FFC"/>
    <w:rsid w:val="003E0EEC"/>
    <w:rsid w:val="003E5301"/>
    <w:rsid w:val="003E6370"/>
    <w:rsid w:val="003F049F"/>
    <w:rsid w:val="003F0832"/>
    <w:rsid w:val="003F51BB"/>
    <w:rsid w:val="00404C55"/>
    <w:rsid w:val="004124E5"/>
    <w:rsid w:val="004161D2"/>
    <w:rsid w:val="004263F4"/>
    <w:rsid w:val="004269B6"/>
    <w:rsid w:val="00430A2A"/>
    <w:rsid w:val="00432741"/>
    <w:rsid w:val="0043279D"/>
    <w:rsid w:val="00432F06"/>
    <w:rsid w:val="004426C1"/>
    <w:rsid w:val="00442D06"/>
    <w:rsid w:val="00444381"/>
    <w:rsid w:val="00445180"/>
    <w:rsid w:val="00446142"/>
    <w:rsid w:val="00446AF6"/>
    <w:rsid w:val="0045553B"/>
    <w:rsid w:val="00455BB0"/>
    <w:rsid w:val="00463FFD"/>
    <w:rsid w:val="004640C8"/>
    <w:rsid w:val="00471371"/>
    <w:rsid w:val="0047292F"/>
    <w:rsid w:val="00472DF3"/>
    <w:rsid w:val="00474665"/>
    <w:rsid w:val="00482E36"/>
    <w:rsid w:val="004832C2"/>
    <w:rsid w:val="00486511"/>
    <w:rsid w:val="004A5B4E"/>
    <w:rsid w:val="004B1F81"/>
    <w:rsid w:val="004B6742"/>
    <w:rsid w:val="004D3583"/>
    <w:rsid w:val="004D40B6"/>
    <w:rsid w:val="004D5A58"/>
    <w:rsid w:val="004D5EF2"/>
    <w:rsid w:val="004E3E87"/>
    <w:rsid w:val="004F107C"/>
    <w:rsid w:val="004F29DE"/>
    <w:rsid w:val="004F2BF8"/>
    <w:rsid w:val="004F549A"/>
    <w:rsid w:val="004F59B0"/>
    <w:rsid w:val="004F6BE8"/>
    <w:rsid w:val="004F7546"/>
    <w:rsid w:val="00500FCC"/>
    <w:rsid w:val="00502C59"/>
    <w:rsid w:val="00505B9D"/>
    <w:rsid w:val="00505E23"/>
    <w:rsid w:val="00514765"/>
    <w:rsid w:val="00517C2F"/>
    <w:rsid w:val="005243BD"/>
    <w:rsid w:val="00526DFB"/>
    <w:rsid w:val="00534402"/>
    <w:rsid w:val="00534E27"/>
    <w:rsid w:val="00536D42"/>
    <w:rsid w:val="00544CD7"/>
    <w:rsid w:val="00545DF0"/>
    <w:rsid w:val="005574F6"/>
    <w:rsid w:val="0056054B"/>
    <w:rsid w:val="005611EA"/>
    <w:rsid w:val="00565FB2"/>
    <w:rsid w:val="00572761"/>
    <w:rsid w:val="00573ACF"/>
    <w:rsid w:val="00577B34"/>
    <w:rsid w:val="00582B2B"/>
    <w:rsid w:val="00583B22"/>
    <w:rsid w:val="0059025C"/>
    <w:rsid w:val="00590F54"/>
    <w:rsid w:val="00591436"/>
    <w:rsid w:val="00592C46"/>
    <w:rsid w:val="005A4D5B"/>
    <w:rsid w:val="005B4BF7"/>
    <w:rsid w:val="005B65EA"/>
    <w:rsid w:val="005B6CDB"/>
    <w:rsid w:val="005C0EB8"/>
    <w:rsid w:val="005C4FBA"/>
    <w:rsid w:val="005C57DB"/>
    <w:rsid w:val="005C60D4"/>
    <w:rsid w:val="005D119B"/>
    <w:rsid w:val="005D19BD"/>
    <w:rsid w:val="005D1A5E"/>
    <w:rsid w:val="005D3482"/>
    <w:rsid w:val="005D4D67"/>
    <w:rsid w:val="005D5535"/>
    <w:rsid w:val="005E16EB"/>
    <w:rsid w:val="005E29E7"/>
    <w:rsid w:val="005E5E61"/>
    <w:rsid w:val="005F11E3"/>
    <w:rsid w:val="005F2505"/>
    <w:rsid w:val="005F7131"/>
    <w:rsid w:val="006013BA"/>
    <w:rsid w:val="00601D18"/>
    <w:rsid w:val="00606A91"/>
    <w:rsid w:val="0060E337"/>
    <w:rsid w:val="00615D39"/>
    <w:rsid w:val="00617E99"/>
    <w:rsid w:val="006210D2"/>
    <w:rsid w:val="00624029"/>
    <w:rsid w:val="006246C2"/>
    <w:rsid w:val="0062677D"/>
    <w:rsid w:val="0062750C"/>
    <w:rsid w:val="00633125"/>
    <w:rsid w:val="00634C3C"/>
    <w:rsid w:val="00634DDF"/>
    <w:rsid w:val="0063667F"/>
    <w:rsid w:val="00640765"/>
    <w:rsid w:val="006410BB"/>
    <w:rsid w:val="0065248C"/>
    <w:rsid w:val="00653E4A"/>
    <w:rsid w:val="00654246"/>
    <w:rsid w:val="00654BE8"/>
    <w:rsid w:val="00655593"/>
    <w:rsid w:val="0066014C"/>
    <w:rsid w:val="006628BE"/>
    <w:rsid w:val="0066645C"/>
    <w:rsid w:val="00673D32"/>
    <w:rsid w:val="006742F9"/>
    <w:rsid w:val="00675E9E"/>
    <w:rsid w:val="00681685"/>
    <w:rsid w:val="006843D4"/>
    <w:rsid w:val="006872DB"/>
    <w:rsid w:val="006954D1"/>
    <w:rsid w:val="00697335"/>
    <w:rsid w:val="006A08B5"/>
    <w:rsid w:val="006A09DF"/>
    <w:rsid w:val="006B243C"/>
    <w:rsid w:val="006B30E2"/>
    <w:rsid w:val="006B41BE"/>
    <w:rsid w:val="006B654E"/>
    <w:rsid w:val="006C1211"/>
    <w:rsid w:val="006C26A6"/>
    <w:rsid w:val="006C2F41"/>
    <w:rsid w:val="006C363A"/>
    <w:rsid w:val="006D05FE"/>
    <w:rsid w:val="006D0BEA"/>
    <w:rsid w:val="006D39BC"/>
    <w:rsid w:val="006D3DA4"/>
    <w:rsid w:val="006D45EC"/>
    <w:rsid w:val="006D6731"/>
    <w:rsid w:val="006E1A1F"/>
    <w:rsid w:val="006E2AFD"/>
    <w:rsid w:val="006F2127"/>
    <w:rsid w:val="006F2A3C"/>
    <w:rsid w:val="006F4A4E"/>
    <w:rsid w:val="007012F3"/>
    <w:rsid w:val="00701FAF"/>
    <w:rsid w:val="00702F40"/>
    <w:rsid w:val="00714CA3"/>
    <w:rsid w:val="00716F1F"/>
    <w:rsid w:val="0072110A"/>
    <w:rsid w:val="00724211"/>
    <w:rsid w:val="0073707F"/>
    <w:rsid w:val="007378F0"/>
    <w:rsid w:val="007432D9"/>
    <w:rsid w:val="007508A9"/>
    <w:rsid w:val="00751CB8"/>
    <w:rsid w:val="007540B0"/>
    <w:rsid w:val="007636BF"/>
    <w:rsid w:val="00763AF8"/>
    <w:rsid w:val="007642AB"/>
    <w:rsid w:val="00765E8F"/>
    <w:rsid w:val="00767F01"/>
    <w:rsid w:val="00770621"/>
    <w:rsid w:val="0077427C"/>
    <w:rsid w:val="00775686"/>
    <w:rsid w:val="007762B6"/>
    <w:rsid w:val="00787BF5"/>
    <w:rsid w:val="00791B8C"/>
    <w:rsid w:val="00797DDF"/>
    <w:rsid w:val="007A3244"/>
    <w:rsid w:val="007B273F"/>
    <w:rsid w:val="007B522E"/>
    <w:rsid w:val="007B7F22"/>
    <w:rsid w:val="007C09F6"/>
    <w:rsid w:val="007C3D77"/>
    <w:rsid w:val="007D1037"/>
    <w:rsid w:val="007D1E30"/>
    <w:rsid w:val="007D30CB"/>
    <w:rsid w:val="007D7B8A"/>
    <w:rsid w:val="007E0DC7"/>
    <w:rsid w:val="007E2430"/>
    <w:rsid w:val="007E4CAD"/>
    <w:rsid w:val="007F00C5"/>
    <w:rsid w:val="007F07E0"/>
    <w:rsid w:val="007F2ACD"/>
    <w:rsid w:val="007F3B82"/>
    <w:rsid w:val="007F7178"/>
    <w:rsid w:val="007F76F8"/>
    <w:rsid w:val="008051F8"/>
    <w:rsid w:val="00807FD9"/>
    <w:rsid w:val="00810E5F"/>
    <w:rsid w:val="00813959"/>
    <w:rsid w:val="008212B0"/>
    <w:rsid w:val="0082294F"/>
    <w:rsid w:val="0082763C"/>
    <w:rsid w:val="00827A03"/>
    <w:rsid w:val="00837508"/>
    <w:rsid w:val="0084226D"/>
    <w:rsid w:val="00842F09"/>
    <w:rsid w:val="008430EF"/>
    <w:rsid w:val="00846FED"/>
    <w:rsid w:val="00850644"/>
    <w:rsid w:val="0085228D"/>
    <w:rsid w:val="00853F03"/>
    <w:rsid w:val="008573F8"/>
    <w:rsid w:val="008615F9"/>
    <w:rsid w:val="00872540"/>
    <w:rsid w:val="00873695"/>
    <w:rsid w:val="00881D8C"/>
    <w:rsid w:val="00882375"/>
    <w:rsid w:val="00886D6E"/>
    <w:rsid w:val="008910F4"/>
    <w:rsid w:val="008931E6"/>
    <w:rsid w:val="0089373B"/>
    <w:rsid w:val="00894C5D"/>
    <w:rsid w:val="0089590B"/>
    <w:rsid w:val="008A27C9"/>
    <w:rsid w:val="008A2C46"/>
    <w:rsid w:val="008A5B79"/>
    <w:rsid w:val="008A68E0"/>
    <w:rsid w:val="008B0721"/>
    <w:rsid w:val="008B6292"/>
    <w:rsid w:val="008C3C5A"/>
    <w:rsid w:val="008C3D05"/>
    <w:rsid w:val="008D08C8"/>
    <w:rsid w:val="008D3292"/>
    <w:rsid w:val="008D4B4F"/>
    <w:rsid w:val="008D5E71"/>
    <w:rsid w:val="008E282A"/>
    <w:rsid w:val="008E2F3E"/>
    <w:rsid w:val="008E394E"/>
    <w:rsid w:val="008F12AA"/>
    <w:rsid w:val="008F2E7A"/>
    <w:rsid w:val="00904691"/>
    <w:rsid w:val="009049B7"/>
    <w:rsid w:val="00906A33"/>
    <w:rsid w:val="00912AE3"/>
    <w:rsid w:val="009208DE"/>
    <w:rsid w:val="0092168E"/>
    <w:rsid w:val="00921A59"/>
    <w:rsid w:val="0092371A"/>
    <w:rsid w:val="00924170"/>
    <w:rsid w:val="00926022"/>
    <w:rsid w:val="009320AE"/>
    <w:rsid w:val="00933AD1"/>
    <w:rsid w:val="00935071"/>
    <w:rsid w:val="00942D89"/>
    <w:rsid w:val="009437BB"/>
    <w:rsid w:val="00944384"/>
    <w:rsid w:val="00951EE4"/>
    <w:rsid w:val="00952A0E"/>
    <w:rsid w:val="00956EC5"/>
    <w:rsid w:val="00960F56"/>
    <w:rsid w:val="00963BFA"/>
    <w:rsid w:val="00970114"/>
    <w:rsid w:val="00970803"/>
    <w:rsid w:val="0097240D"/>
    <w:rsid w:val="0097416A"/>
    <w:rsid w:val="00983631"/>
    <w:rsid w:val="00984D40"/>
    <w:rsid w:val="00991CF2"/>
    <w:rsid w:val="00994549"/>
    <w:rsid w:val="0099692C"/>
    <w:rsid w:val="009A0330"/>
    <w:rsid w:val="009A5678"/>
    <w:rsid w:val="009B502E"/>
    <w:rsid w:val="009C4AC4"/>
    <w:rsid w:val="009C5CC6"/>
    <w:rsid w:val="009C6E63"/>
    <w:rsid w:val="009D0423"/>
    <w:rsid w:val="009D323B"/>
    <w:rsid w:val="009D3D00"/>
    <w:rsid w:val="009D43D0"/>
    <w:rsid w:val="009D7689"/>
    <w:rsid w:val="009E0981"/>
    <w:rsid w:val="009E0F03"/>
    <w:rsid w:val="009E2CC2"/>
    <w:rsid w:val="009E5793"/>
    <w:rsid w:val="009F023C"/>
    <w:rsid w:val="009F31AA"/>
    <w:rsid w:val="009F6161"/>
    <w:rsid w:val="009F7E55"/>
    <w:rsid w:val="00A013ED"/>
    <w:rsid w:val="00A02D9D"/>
    <w:rsid w:val="00A07908"/>
    <w:rsid w:val="00A13433"/>
    <w:rsid w:val="00A2020F"/>
    <w:rsid w:val="00A2260C"/>
    <w:rsid w:val="00A254A6"/>
    <w:rsid w:val="00A25D81"/>
    <w:rsid w:val="00A31985"/>
    <w:rsid w:val="00A358E0"/>
    <w:rsid w:val="00A409D6"/>
    <w:rsid w:val="00A43C25"/>
    <w:rsid w:val="00A47705"/>
    <w:rsid w:val="00A50547"/>
    <w:rsid w:val="00A52178"/>
    <w:rsid w:val="00A52F0D"/>
    <w:rsid w:val="00A604DD"/>
    <w:rsid w:val="00A60FB0"/>
    <w:rsid w:val="00A63516"/>
    <w:rsid w:val="00A66C46"/>
    <w:rsid w:val="00A67134"/>
    <w:rsid w:val="00A675A5"/>
    <w:rsid w:val="00A7053B"/>
    <w:rsid w:val="00A7068A"/>
    <w:rsid w:val="00A76CC8"/>
    <w:rsid w:val="00A771B2"/>
    <w:rsid w:val="00A81555"/>
    <w:rsid w:val="00A91549"/>
    <w:rsid w:val="00A91E27"/>
    <w:rsid w:val="00A920EF"/>
    <w:rsid w:val="00A9766A"/>
    <w:rsid w:val="00AA000D"/>
    <w:rsid w:val="00AA0A4F"/>
    <w:rsid w:val="00AA542E"/>
    <w:rsid w:val="00AA75DB"/>
    <w:rsid w:val="00AB10E3"/>
    <w:rsid w:val="00AB3763"/>
    <w:rsid w:val="00AB386B"/>
    <w:rsid w:val="00AB3E73"/>
    <w:rsid w:val="00AB55A6"/>
    <w:rsid w:val="00AB730A"/>
    <w:rsid w:val="00AC243C"/>
    <w:rsid w:val="00AC4D48"/>
    <w:rsid w:val="00AC580B"/>
    <w:rsid w:val="00AC6C7A"/>
    <w:rsid w:val="00AD4517"/>
    <w:rsid w:val="00AD66D6"/>
    <w:rsid w:val="00AE1747"/>
    <w:rsid w:val="00AE5072"/>
    <w:rsid w:val="00AE5074"/>
    <w:rsid w:val="00AE50E0"/>
    <w:rsid w:val="00AF0FD7"/>
    <w:rsid w:val="00AF26C2"/>
    <w:rsid w:val="00B011CC"/>
    <w:rsid w:val="00B0126F"/>
    <w:rsid w:val="00B03EEE"/>
    <w:rsid w:val="00B04375"/>
    <w:rsid w:val="00B053CD"/>
    <w:rsid w:val="00B07A32"/>
    <w:rsid w:val="00B22C93"/>
    <w:rsid w:val="00B26989"/>
    <w:rsid w:val="00B27A14"/>
    <w:rsid w:val="00B310AD"/>
    <w:rsid w:val="00B31340"/>
    <w:rsid w:val="00B32BC0"/>
    <w:rsid w:val="00B33ECC"/>
    <w:rsid w:val="00B34568"/>
    <w:rsid w:val="00B352E4"/>
    <w:rsid w:val="00B376C0"/>
    <w:rsid w:val="00B37A4B"/>
    <w:rsid w:val="00B41DDC"/>
    <w:rsid w:val="00B42EE9"/>
    <w:rsid w:val="00B52A0F"/>
    <w:rsid w:val="00B55C61"/>
    <w:rsid w:val="00B569E7"/>
    <w:rsid w:val="00B57653"/>
    <w:rsid w:val="00B60EB8"/>
    <w:rsid w:val="00B70349"/>
    <w:rsid w:val="00B71727"/>
    <w:rsid w:val="00B769C5"/>
    <w:rsid w:val="00B7714E"/>
    <w:rsid w:val="00B86C03"/>
    <w:rsid w:val="00B872E3"/>
    <w:rsid w:val="00B902B6"/>
    <w:rsid w:val="00B906AD"/>
    <w:rsid w:val="00B9155A"/>
    <w:rsid w:val="00B925EA"/>
    <w:rsid w:val="00B9360B"/>
    <w:rsid w:val="00B9584B"/>
    <w:rsid w:val="00B96F38"/>
    <w:rsid w:val="00BA08EF"/>
    <w:rsid w:val="00BA294A"/>
    <w:rsid w:val="00BA30FA"/>
    <w:rsid w:val="00BA6369"/>
    <w:rsid w:val="00BA6780"/>
    <w:rsid w:val="00BA6795"/>
    <w:rsid w:val="00BA798B"/>
    <w:rsid w:val="00BB3695"/>
    <w:rsid w:val="00BB4E3C"/>
    <w:rsid w:val="00BB50F6"/>
    <w:rsid w:val="00BB539C"/>
    <w:rsid w:val="00BB64B1"/>
    <w:rsid w:val="00BB6A85"/>
    <w:rsid w:val="00BB707B"/>
    <w:rsid w:val="00BB7E15"/>
    <w:rsid w:val="00BC14B4"/>
    <w:rsid w:val="00BC1C12"/>
    <w:rsid w:val="00BC4F00"/>
    <w:rsid w:val="00BC729E"/>
    <w:rsid w:val="00BC7EF4"/>
    <w:rsid w:val="00BD04B9"/>
    <w:rsid w:val="00BD0AE8"/>
    <w:rsid w:val="00BD0C02"/>
    <w:rsid w:val="00BD123A"/>
    <w:rsid w:val="00BD135B"/>
    <w:rsid w:val="00BE0E22"/>
    <w:rsid w:val="00BE2D91"/>
    <w:rsid w:val="00BE59D7"/>
    <w:rsid w:val="00BE5ED1"/>
    <w:rsid w:val="00BF34E3"/>
    <w:rsid w:val="00BF40BA"/>
    <w:rsid w:val="00BF4429"/>
    <w:rsid w:val="00BF44F7"/>
    <w:rsid w:val="00BF7502"/>
    <w:rsid w:val="00C05D67"/>
    <w:rsid w:val="00C06090"/>
    <w:rsid w:val="00C1006A"/>
    <w:rsid w:val="00C10E28"/>
    <w:rsid w:val="00C12431"/>
    <w:rsid w:val="00C15FE6"/>
    <w:rsid w:val="00C16FE3"/>
    <w:rsid w:val="00C208A1"/>
    <w:rsid w:val="00C241A8"/>
    <w:rsid w:val="00C27D7B"/>
    <w:rsid w:val="00C36B01"/>
    <w:rsid w:val="00C439FD"/>
    <w:rsid w:val="00C45EB3"/>
    <w:rsid w:val="00C465B8"/>
    <w:rsid w:val="00C47A06"/>
    <w:rsid w:val="00C508C6"/>
    <w:rsid w:val="00C54D78"/>
    <w:rsid w:val="00C55DDA"/>
    <w:rsid w:val="00C57F0F"/>
    <w:rsid w:val="00C64A52"/>
    <w:rsid w:val="00C67B58"/>
    <w:rsid w:val="00C70249"/>
    <w:rsid w:val="00C74A83"/>
    <w:rsid w:val="00C74CCD"/>
    <w:rsid w:val="00C750A9"/>
    <w:rsid w:val="00C802E9"/>
    <w:rsid w:val="00C80610"/>
    <w:rsid w:val="00C81A2F"/>
    <w:rsid w:val="00C8418D"/>
    <w:rsid w:val="00C84F91"/>
    <w:rsid w:val="00C876B1"/>
    <w:rsid w:val="00C87B22"/>
    <w:rsid w:val="00C87DD0"/>
    <w:rsid w:val="00C91515"/>
    <w:rsid w:val="00C91DCD"/>
    <w:rsid w:val="00C939F4"/>
    <w:rsid w:val="00C96E3A"/>
    <w:rsid w:val="00C9736E"/>
    <w:rsid w:val="00CA004A"/>
    <w:rsid w:val="00CA4DDC"/>
    <w:rsid w:val="00CA5DDA"/>
    <w:rsid w:val="00CA7370"/>
    <w:rsid w:val="00CB24AD"/>
    <w:rsid w:val="00CB473A"/>
    <w:rsid w:val="00CB510C"/>
    <w:rsid w:val="00CB706D"/>
    <w:rsid w:val="00CC5EEA"/>
    <w:rsid w:val="00CD30DB"/>
    <w:rsid w:val="00CD3BC4"/>
    <w:rsid w:val="00CD3CAE"/>
    <w:rsid w:val="00CE1A00"/>
    <w:rsid w:val="00CE41C1"/>
    <w:rsid w:val="00CF7E1F"/>
    <w:rsid w:val="00D11A12"/>
    <w:rsid w:val="00D12BAF"/>
    <w:rsid w:val="00D14904"/>
    <w:rsid w:val="00D17FA3"/>
    <w:rsid w:val="00D21C12"/>
    <w:rsid w:val="00D2226E"/>
    <w:rsid w:val="00D35D02"/>
    <w:rsid w:val="00D36506"/>
    <w:rsid w:val="00D36A62"/>
    <w:rsid w:val="00D4328B"/>
    <w:rsid w:val="00D51BE6"/>
    <w:rsid w:val="00D5210D"/>
    <w:rsid w:val="00D53C52"/>
    <w:rsid w:val="00D62391"/>
    <w:rsid w:val="00D63CE3"/>
    <w:rsid w:val="00D651F6"/>
    <w:rsid w:val="00D65590"/>
    <w:rsid w:val="00D658F1"/>
    <w:rsid w:val="00D676DE"/>
    <w:rsid w:val="00D7054B"/>
    <w:rsid w:val="00D7261F"/>
    <w:rsid w:val="00D75E34"/>
    <w:rsid w:val="00D778B9"/>
    <w:rsid w:val="00D810AB"/>
    <w:rsid w:val="00D8110A"/>
    <w:rsid w:val="00D81F42"/>
    <w:rsid w:val="00D84A6A"/>
    <w:rsid w:val="00D85AF6"/>
    <w:rsid w:val="00D86D39"/>
    <w:rsid w:val="00D90BD6"/>
    <w:rsid w:val="00D97378"/>
    <w:rsid w:val="00DA214A"/>
    <w:rsid w:val="00DA43DD"/>
    <w:rsid w:val="00DA5717"/>
    <w:rsid w:val="00DA6EF0"/>
    <w:rsid w:val="00DB0C3C"/>
    <w:rsid w:val="00DB3AAB"/>
    <w:rsid w:val="00DB7C92"/>
    <w:rsid w:val="00DC0E8F"/>
    <w:rsid w:val="00DC3D39"/>
    <w:rsid w:val="00DC4648"/>
    <w:rsid w:val="00DC609B"/>
    <w:rsid w:val="00DD0554"/>
    <w:rsid w:val="00DD198C"/>
    <w:rsid w:val="00DD1AA0"/>
    <w:rsid w:val="00DD5EFA"/>
    <w:rsid w:val="00DD5F58"/>
    <w:rsid w:val="00DE2F5E"/>
    <w:rsid w:val="00DE4DFC"/>
    <w:rsid w:val="00DE4F55"/>
    <w:rsid w:val="00DE5595"/>
    <w:rsid w:val="00DF1B43"/>
    <w:rsid w:val="00DF2A26"/>
    <w:rsid w:val="00E01191"/>
    <w:rsid w:val="00E0679E"/>
    <w:rsid w:val="00E112B8"/>
    <w:rsid w:val="00E11A32"/>
    <w:rsid w:val="00E12D4E"/>
    <w:rsid w:val="00E14B83"/>
    <w:rsid w:val="00E17FB2"/>
    <w:rsid w:val="00E22E2A"/>
    <w:rsid w:val="00E30A33"/>
    <w:rsid w:val="00E310FB"/>
    <w:rsid w:val="00E41823"/>
    <w:rsid w:val="00E41C92"/>
    <w:rsid w:val="00E4244C"/>
    <w:rsid w:val="00E43DC6"/>
    <w:rsid w:val="00E509B4"/>
    <w:rsid w:val="00E61D06"/>
    <w:rsid w:val="00E73277"/>
    <w:rsid w:val="00E73DDB"/>
    <w:rsid w:val="00E74441"/>
    <w:rsid w:val="00E74970"/>
    <w:rsid w:val="00E82293"/>
    <w:rsid w:val="00E83333"/>
    <w:rsid w:val="00E85583"/>
    <w:rsid w:val="00E866DA"/>
    <w:rsid w:val="00E9052C"/>
    <w:rsid w:val="00E9524E"/>
    <w:rsid w:val="00E95F8C"/>
    <w:rsid w:val="00E97639"/>
    <w:rsid w:val="00EA015C"/>
    <w:rsid w:val="00EA2311"/>
    <w:rsid w:val="00EA5B94"/>
    <w:rsid w:val="00EA78CD"/>
    <w:rsid w:val="00EB0572"/>
    <w:rsid w:val="00EB2B9E"/>
    <w:rsid w:val="00EB5030"/>
    <w:rsid w:val="00EB6C37"/>
    <w:rsid w:val="00EB735F"/>
    <w:rsid w:val="00EB773B"/>
    <w:rsid w:val="00EC02B5"/>
    <w:rsid w:val="00EC040F"/>
    <w:rsid w:val="00EC1BC2"/>
    <w:rsid w:val="00EC2413"/>
    <w:rsid w:val="00EC2FF0"/>
    <w:rsid w:val="00EC3E63"/>
    <w:rsid w:val="00ED1F81"/>
    <w:rsid w:val="00ED6583"/>
    <w:rsid w:val="00EE4E57"/>
    <w:rsid w:val="00EE77E1"/>
    <w:rsid w:val="00F00F99"/>
    <w:rsid w:val="00F0201F"/>
    <w:rsid w:val="00F12B08"/>
    <w:rsid w:val="00F142DB"/>
    <w:rsid w:val="00F14FD9"/>
    <w:rsid w:val="00F153CE"/>
    <w:rsid w:val="00F22577"/>
    <w:rsid w:val="00F33E82"/>
    <w:rsid w:val="00F40E71"/>
    <w:rsid w:val="00F43805"/>
    <w:rsid w:val="00F456D4"/>
    <w:rsid w:val="00F46FE0"/>
    <w:rsid w:val="00F50A2C"/>
    <w:rsid w:val="00F561C4"/>
    <w:rsid w:val="00F6428C"/>
    <w:rsid w:val="00F71F98"/>
    <w:rsid w:val="00F722B9"/>
    <w:rsid w:val="00F75A25"/>
    <w:rsid w:val="00F76699"/>
    <w:rsid w:val="00F77587"/>
    <w:rsid w:val="00F81C06"/>
    <w:rsid w:val="00F83765"/>
    <w:rsid w:val="00F86E1A"/>
    <w:rsid w:val="00F959C9"/>
    <w:rsid w:val="00F96186"/>
    <w:rsid w:val="00F97796"/>
    <w:rsid w:val="00FA0870"/>
    <w:rsid w:val="00FA18E0"/>
    <w:rsid w:val="00FA22F6"/>
    <w:rsid w:val="00FA37B4"/>
    <w:rsid w:val="00FA43D4"/>
    <w:rsid w:val="00FA64A1"/>
    <w:rsid w:val="00FB2457"/>
    <w:rsid w:val="00FB2F1F"/>
    <w:rsid w:val="00FB3FB9"/>
    <w:rsid w:val="00FB474F"/>
    <w:rsid w:val="00FB4E2B"/>
    <w:rsid w:val="00FB77B6"/>
    <w:rsid w:val="00FC0000"/>
    <w:rsid w:val="00FC1D75"/>
    <w:rsid w:val="00FC20BE"/>
    <w:rsid w:val="00FC3287"/>
    <w:rsid w:val="00FC6396"/>
    <w:rsid w:val="00FC7149"/>
    <w:rsid w:val="00FC7DA1"/>
    <w:rsid w:val="00FD0183"/>
    <w:rsid w:val="00FD0313"/>
    <w:rsid w:val="00FD2C31"/>
    <w:rsid w:val="00FD332E"/>
    <w:rsid w:val="00FD3AA6"/>
    <w:rsid w:val="00FE218D"/>
    <w:rsid w:val="00FE6964"/>
    <w:rsid w:val="00FF290D"/>
    <w:rsid w:val="00FF2C72"/>
    <w:rsid w:val="00FF362B"/>
    <w:rsid w:val="00FF49E4"/>
    <w:rsid w:val="00FF774B"/>
    <w:rsid w:val="01A34834"/>
    <w:rsid w:val="061235D9"/>
    <w:rsid w:val="10DB3D6E"/>
    <w:rsid w:val="19C4C7F0"/>
    <w:rsid w:val="1CA24BE8"/>
    <w:rsid w:val="1FFEFBCD"/>
    <w:rsid w:val="33497EE7"/>
    <w:rsid w:val="3BA121DC"/>
    <w:rsid w:val="3BDD054D"/>
    <w:rsid w:val="41F9F309"/>
    <w:rsid w:val="52E1B1A7"/>
    <w:rsid w:val="5361654C"/>
    <w:rsid w:val="61ADCAB8"/>
    <w:rsid w:val="68F985AB"/>
    <w:rsid w:val="6B2554E6"/>
    <w:rsid w:val="7103C78D"/>
    <w:rsid w:val="75FE3BFD"/>
    <w:rsid w:val="7C149F80"/>
    <w:rsid w:val="7DAF6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09E7"/>
  <w15:chartTrackingRefBased/>
  <w15:docId w15:val="{896161A9-A26E-410E-AD6E-E046967D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b/>
      <w:bCs/>
      <w:sz w:val="36"/>
    </w:rPr>
  </w:style>
  <w:style w:type="paragraph" w:customStyle="1" w:styleId="SubheadingSH">
    <w:name w:val="Sub heading SH"/>
    <w:basedOn w:val="Normal"/>
    <w:autoRedefine/>
    <w:qFormat/>
    <w:rsid w:val="006D39BC"/>
    <w:pPr>
      <w:spacing w:before="240" w:line="259" w:lineRule="auto"/>
      <w:ind w:left="1440" w:hanging="1440"/>
    </w:pPr>
    <w:rPr>
      <w:b/>
      <w:bCs/>
      <w:color w:val="1AA4A0"/>
      <w:sz w:val="28"/>
      <w:szCs w:val="21"/>
    </w:rPr>
  </w:style>
  <w:style w:type="paragraph" w:customStyle="1" w:styleId="AbbreviationtableSH">
    <w:name w:val="Abbreviation table SH"/>
    <w:basedOn w:val="BodytextSH"/>
    <w:qFormat/>
    <w:rsid w:val="006D39BC"/>
    <w:pPr>
      <w:spacing w:before="0" w:after="60" w:line="240" w:lineRule="auto"/>
    </w:pPr>
    <w:rPr>
      <w:sz w:val="18"/>
      <w:u w:color="301159"/>
      <w:lang w:val="en-GB"/>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sz w:val="18"/>
      <w:u w:color="301159"/>
    </w:rPr>
  </w:style>
  <w:style w:type="paragraph" w:customStyle="1" w:styleId="TableheaderrowSH">
    <w:name w:val="Table header row SH"/>
    <w:next w:val="Normal"/>
    <w:autoRedefine/>
    <w:qFormat/>
    <w:rsid w:val="00872540"/>
    <w:pPr>
      <w:shd w:val="solid" w:color="1AA4A0" w:fill="auto"/>
    </w:pPr>
    <w:rPr>
      <w:rFonts w:eastAsia="Times New Roman"/>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BD04B9"/>
    <w:pPr>
      <w:spacing w:before="120" w:after="120" w:line="259" w:lineRule="auto"/>
    </w:pPr>
    <w:rPr>
      <w:rFonts w:eastAsia="Times New Roman" w:cs="Times New Roman"/>
      <w:kern w:val="0"/>
      <w:szCs w:val="21"/>
      <w:lang w:eastAsia="en-AU"/>
      <w14:ligatures w14:val="none"/>
    </w:rPr>
  </w:style>
  <w:style w:type="paragraph" w:customStyle="1" w:styleId="TabletextSH">
    <w:name w:val="Table text SH"/>
    <w:autoRedefine/>
    <w:qFormat/>
    <w:rsid w:val="003009E9"/>
    <w:pPr>
      <w:spacing w:after="160" w:line="259" w:lineRule="auto"/>
    </w:pPr>
    <w:rPr>
      <w:i/>
      <w:szCs w:val="21"/>
    </w:rPr>
  </w:style>
  <w:style w:type="paragraph" w:customStyle="1" w:styleId="FigureTextSH">
    <w:name w:val="Figure Text SH"/>
    <w:autoRedefine/>
    <w:qFormat/>
    <w:rsid w:val="003009E9"/>
    <w:pPr>
      <w:spacing w:before="120" w:after="160" w:line="259" w:lineRule="auto"/>
    </w:pPr>
    <w:rPr>
      <w:i/>
      <w:sz w:val="20"/>
      <w:szCs w:val="21"/>
    </w:rPr>
  </w:style>
  <w:style w:type="paragraph" w:customStyle="1" w:styleId="Bodytext-emhasisSH">
    <w:name w:val="Body text - emhasis SH"/>
    <w:autoRedefine/>
    <w:qFormat/>
    <w:rsid w:val="003009E9"/>
    <w:pPr>
      <w:spacing w:after="160" w:line="259" w:lineRule="auto"/>
    </w:pPr>
    <w:rPr>
      <w:rFonts w:cs="Arial (Body CS)"/>
      <w:b/>
      <w:bCs/>
    </w:rPr>
  </w:style>
  <w:style w:type="paragraph" w:customStyle="1" w:styleId="Tableheaderrow-small-SH">
    <w:name w:val="Table header row - small - SH"/>
    <w:autoRedefine/>
    <w:qFormat/>
    <w:rsid w:val="00872540"/>
    <w:pPr>
      <w:spacing w:after="160" w:line="259" w:lineRule="auto"/>
    </w:pPr>
    <w:rPr>
      <w:rFonts w:eastAsia="Times New Roman"/>
      <w:b/>
      <w:bCs/>
      <w:color w:val="FFFFFF" w:themeColor="background1"/>
      <w:sz w:val="28"/>
      <w:szCs w:val="21"/>
    </w:rPr>
  </w:style>
  <w:style w:type="paragraph" w:customStyle="1" w:styleId="ConsequenceSH">
    <w:name w:val="Consequence SH"/>
    <w:autoRedefine/>
    <w:qFormat/>
    <w:rsid w:val="00872540"/>
    <w:pPr>
      <w:spacing w:after="160" w:line="259" w:lineRule="auto"/>
    </w:pPr>
    <w:rPr>
      <w:rFonts w:eastAsia="Times New Roman"/>
      <w:i/>
      <w:lang w:eastAsia="en-AU"/>
    </w:rPr>
  </w:style>
  <w:style w:type="paragraph" w:customStyle="1" w:styleId="Heading1SH">
    <w:name w:val="Heading 1 SH"/>
    <w:autoRedefine/>
    <w:qFormat/>
    <w:rsid w:val="0089373B"/>
    <w:pPr>
      <w:spacing w:before="240" w:after="180"/>
    </w:pPr>
    <w:rPr>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cs="Arial (Body CS)"/>
      <w:b/>
      <w:bCs/>
    </w:rPr>
  </w:style>
  <w:style w:type="paragraph" w:customStyle="1" w:styleId="ThirdlevelheadingSH">
    <w:name w:val="Third level heading SH"/>
    <w:basedOn w:val="Normal"/>
    <w:autoRedefine/>
    <w:qFormat/>
    <w:rsid w:val="0066645C"/>
    <w:pPr>
      <w:spacing w:before="240" w:line="259" w:lineRule="auto"/>
    </w:pPr>
    <w:rPr>
      <w:b/>
      <w:bCs/>
      <w:color w:val="152775"/>
      <w:szCs w:val="20"/>
    </w:rPr>
  </w:style>
  <w:style w:type="paragraph" w:customStyle="1" w:styleId="BodytextwhiteSH">
    <w:name w:val="Body text white SH"/>
    <w:basedOn w:val="Normal"/>
    <w:autoRedefine/>
    <w:qFormat/>
    <w:rsid w:val="00166EFE"/>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sz w:val="16"/>
      <w:szCs w:val="16"/>
    </w:rPr>
  </w:style>
  <w:style w:type="paragraph" w:customStyle="1" w:styleId="Bulletinatable-SH">
    <w:name w:val="Bullet in a table - SH"/>
    <w:basedOn w:val="Normal"/>
    <w:rsid w:val="006D39BC"/>
    <w:pPr>
      <w:spacing w:after="200" w:line="276" w:lineRule="auto"/>
    </w:pPr>
    <w:rPr>
      <w:rFonts w:eastAsia="Times New Roman"/>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sz w:val="20"/>
      <w:u w:color="301159"/>
      <w:lang w:val="en-GB"/>
    </w:rPr>
  </w:style>
  <w:style w:type="paragraph" w:customStyle="1" w:styleId="BulletSH">
    <w:name w:val="Bullet SH"/>
    <w:rsid w:val="00545DF0"/>
    <w:pPr>
      <w:numPr>
        <w:numId w:val="3"/>
      </w:numPr>
      <w:spacing w:before="120" w:after="120" w:line="259" w:lineRule="auto"/>
      <w:contextualSpacing/>
    </w:pPr>
    <w:rPr>
      <w:bCs/>
      <w:kern w:val="0"/>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u w:val="single" w:color="000000" w:themeColor="text1"/>
    </w:rPr>
  </w:style>
  <w:style w:type="paragraph" w:customStyle="1" w:styleId="Indicatortableheader-SH">
    <w:name w:val="Indicator table header - SH"/>
    <w:basedOn w:val="Normal"/>
    <w:rsid w:val="00545DF0"/>
    <w:pPr>
      <w:spacing w:before="120" w:after="120" w:line="259" w:lineRule="auto"/>
    </w:pPr>
    <w:rPr>
      <w:b/>
      <w:bCs/>
      <w:kern w:val="0"/>
      <w14:ligatures w14:val="none"/>
    </w:rPr>
  </w:style>
  <w:style w:type="paragraph" w:customStyle="1" w:styleId="Indicatortablelist-SH">
    <w:name w:val="Indicator table list - SH"/>
    <w:basedOn w:val="BodytextSH"/>
    <w:rsid w:val="00545DF0"/>
    <w:pPr>
      <w:numPr>
        <w:numId w:val="6"/>
      </w:numPr>
      <w:spacing w:line="240" w:lineRule="auto"/>
    </w:p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kern w:val="0"/>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eastAsia="Times New Roman"/>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b/>
      <w:color w:val="FF0000"/>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cstheme="minorHAnsi"/>
      <w:b/>
      <w:bCs/>
      <w:kern w:val="0"/>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cstheme="minorHAnsi"/>
      <w:iCs/>
      <w:kern w:val="0"/>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eastAsia="Wingdings"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14:ligatures w14:val="none"/>
    </w:rPr>
  </w:style>
  <w:style w:type="paragraph" w:customStyle="1" w:styleId="AcronymtableSH">
    <w:name w:val="Acronym table SH"/>
    <w:basedOn w:val="BodytextSH"/>
    <w:qFormat/>
    <w:rsid w:val="006D39BC"/>
    <w:pPr>
      <w:spacing w:before="60" w:line="240" w:lineRule="auto"/>
    </w:pPr>
  </w:style>
  <w:style w:type="paragraph" w:customStyle="1" w:styleId="BodytextitalicSH">
    <w:name w:val="Body text italic SH"/>
    <w:basedOn w:val="BodytextSH"/>
    <w:qFormat/>
    <w:rsid w:val="006D39BC"/>
    <w:pPr>
      <w:spacing w:line="240" w:lineRule="auto"/>
    </w:pPr>
    <w:rPr>
      <w:i/>
    </w:rPr>
  </w:style>
  <w:style w:type="paragraph" w:customStyle="1" w:styleId="Codingtablecentredcontent-SH">
    <w:name w:val="Coding table centred content - SH"/>
    <w:basedOn w:val="Normal"/>
    <w:qFormat/>
    <w:rsid w:val="006D39BC"/>
    <w:pPr>
      <w:jc w:val="center"/>
    </w:pPr>
    <w:rPr>
      <w:rFonts w:eastAsia="Times New Roman" w:cs="Calibri"/>
      <w:kern w:val="0"/>
      <w:sz w:val="20"/>
      <w:szCs w:val="16"/>
      <w:lang w:eastAsia="en-AU"/>
      <w14:ligatures w14:val="none"/>
    </w:rPr>
  </w:style>
  <w:style w:type="paragraph" w:customStyle="1" w:styleId="Codingtablecontent-SH">
    <w:name w:val="Coding table content - SH"/>
    <w:basedOn w:val="Normal"/>
    <w:qFormat/>
    <w:rsid w:val="006D39BC"/>
    <w:rPr>
      <w:rFonts w:eastAsia="Times New Roman"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sz w:val="18"/>
      <w:szCs w:val="18"/>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eastAsia="Times New Roman"/>
      <w:b/>
      <w:bCs/>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eastAsia="Times New Roman" w:cs="Times New Roman"/>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sz w:val="21"/>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paragraph" w:styleId="NormalWeb">
    <w:name w:val="Normal (Web)"/>
    <w:basedOn w:val="Normal"/>
    <w:uiPriority w:val="99"/>
    <w:semiHidden/>
    <w:unhideWhenUsed/>
    <w:rsid w:val="00582B2B"/>
    <w:pPr>
      <w:spacing w:before="100" w:beforeAutospacing="1" w:after="100" w:afterAutospacing="1"/>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582B2B"/>
    <w:rPr>
      <w:b/>
      <w:bCs/>
    </w:rPr>
  </w:style>
  <w:style w:type="character" w:customStyle="1" w:styleId="wacimagecontainer">
    <w:name w:val="wacimagecontainer"/>
    <w:basedOn w:val="DefaultParagraphFont"/>
    <w:rsid w:val="002E3551"/>
  </w:style>
  <w:style w:type="character" w:styleId="FollowedHyperlink">
    <w:name w:val="FollowedHyperlink"/>
    <w:basedOn w:val="DefaultParagraphFont"/>
    <w:uiPriority w:val="99"/>
    <w:semiHidden/>
    <w:unhideWhenUsed/>
    <w:rsid w:val="00335F33"/>
    <w:rPr>
      <w:color w:val="96607D" w:themeColor="followedHyperlink"/>
      <w:u w:val="single"/>
    </w:rPr>
  </w:style>
  <w:style w:type="paragraph" w:styleId="Revision">
    <w:name w:val="Revision"/>
    <w:hidden/>
    <w:uiPriority w:val="99"/>
    <w:semiHidden/>
    <w:rsid w:val="0033331B"/>
  </w:style>
  <w:style w:type="character" w:styleId="Mention">
    <w:name w:val="Mention"/>
    <w:basedOn w:val="DefaultParagraphFont"/>
    <w:uiPriority w:val="99"/>
    <w:unhideWhenUsed/>
    <w:rsid w:val="002D3DDF"/>
    <w:rPr>
      <w:color w:val="2B579A"/>
      <w:shd w:val="clear" w:color="auto" w:fill="E1DFDD"/>
    </w:rPr>
  </w:style>
  <w:style w:type="paragraph" w:customStyle="1" w:styleId="Default">
    <w:name w:val="Default"/>
    <w:rsid w:val="00C87B22"/>
    <w:pPr>
      <w:autoSpaceDE w:val="0"/>
      <w:autoSpaceDN w:val="0"/>
      <w:adjustRightInd w:val="0"/>
    </w:pPr>
    <w:rPr>
      <w:color w:val="000000"/>
      <w:kern w:val="0"/>
      <w:sz w:val="24"/>
      <w:szCs w:val="24"/>
      <w:lang w:val="en-GB"/>
    </w:rPr>
  </w:style>
  <w:style w:type="character" w:customStyle="1" w:styleId="eop">
    <w:name w:val="eop"/>
    <w:basedOn w:val="DefaultParagraphFont"/>
    <w:rsid w:val="00592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8555">
      <w:bodyDiv w:val="1"/>
      <w:marLeft w:val="0"/>
      <w:marRight w:val="0"/>
      <w:marTop w:val="0"/>
      <w:marBottom w:val="0"/>
      <w:divBdr>
        <w:top w:val="none" w:sz="0" w:space="0" w:color="auto"/>
        <w:left w:val="none" w:sz="0" w:space="0" w:color="auto"/>
        <w:bottom w:val="none" w:sz="0" w:space="0" w:color="auto"/>
        <w:right w:val="none" w:sz="0" w:space="0" w:color="auto"/>
      </w:divBdr>
    </w:div>
    <w:div w:id="561336164">
      <w:bodyDiv w:val="1"/>
      <w:marLeft w:val="0"/>
      <w:marRight w:val="0"/>
      <w:marTop w:val="0"/>
      <w:marBottom w:val="0"/>
      <w:divBdr>
        <w:top w:val="none" w:sz="0" w:space="0" w:color="auto"/>
        <w:left w:val="none" w:sz="0" w:space="0" w:color="auto"/>
        <w:bottom w:val="none" w:sz="0" w:space="0" w:color="auto"/>
        <w:right w:val="none" w:sz="0" w:space="0" w:color="auto"/>
      </w:divBdr>
    </w:div>
    <w:div w:id="1100218702">
      <w:bodyDiv w:val="1"/>
      <w:marLeft w:val="0"/>
      <w:marRight w:val="0"/>
      <w:marTop w:val="0"/>
      <w:marBottom w:val="0"/>
      <w:divBdr>
        <w:top w:val="none" w:sz="0" w:space="0" w:color="auto"/>
        <w:left w:val="none" w:sz="0" w:space="0" w:color="auto"/>
        <w:bottom w:val="none" w:sz="0" w:space="0" w:color="auto"/>
        <w:right w:val="none" w:sz="0" w:space="0" w:color="auto"/>
      </w:divBdr>
    </w:div>
    <w:div w:id="113062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municare-portal.telstrahealth.com/knowledge/V22.4/topics/qualifier_codes_ear_health.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vinghealth.au/specifications" TargetMode="External"/><Relationship Id="rId5" Type="http://schemas.openxmlformats.org/officeDocument/2006/relationships/styles" Target="styles.xml"/><Relationship Id="rId15"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lvinghealth.au/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C75CD-4329-48F0-AD4D-1341BE07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3.xml><?xml version="1.0" encoding="utf-8"?>
<ds:datastoreItem xmlns:ds="http://schemas.openxmlformats.org/officeDocument/2006/customXml" ds:itemID="{D767303F-5453-415A-97BB-24470AE2F735}">
  <ds:schemaRefs>
    <ds:schemaRef ds:uri="http://schemas.microsoft.com/office/2006/metadata/properties"/>
    <ds:schemaRef ds:uri="http://purl.org/dc/terms/"/>
    <ds:schemaRef ds:uri="147b53b7-e685-4566-9d7c-b596e8f31032"/>
    <ds:schemaRef ds:uri="http://purl.org/dc/dcmitype/"/>
    <ds:schemaRef ds:uri="8b623f03-e0b9-4a3d-870d-1dbcb4637ef8"/>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 PI26 CC</dc:title>
  <dc:subject/>
  <dc:creator>Australian Government Department of Health, Disability and Ageing</dc:creator>
  <cp:keywords/>
  <dc:description/>
  <cp:revision>7</cp:revision>
  <dcterms:created xsi:type="dcterms:W3CDTF">2025-07-29T04:08:00Z</dcterms:created>
  <dcterms:modified xsi:type="dcterms:W3CDTF">2025-07-29T04:11:00Z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