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6022" w14:textId="2743D74A" w:rsidR="00B558DE" w:rsidRDefault="00B558DE" w:rsidP="002B4EF5">
      <w:pPr>
        <w:pStyle w:val="QRGText"/>
      </w:pPr>
      <w:r>
        <w:t xml:space="preserve">When your DSS FAM returns your </w:t>
      </w:r>
      <w:r w:rsidR="00250EEC" w:rsidRPr="00270FF0">
        <w:t xml:space="preserve">IAHP PHC </w:t>
      </w:r>
      <w:r w:rsidRPr="00270FF0">
        <w:t>Performance Report</w:t>
      </w:r>
      <w:r w:rsidRPr="00B558DE">
        <w:rPr>
          <w:i/>
          <w:iCs/>
        </w:rPr>
        <w:t xml:space="preserve"> </w:t>
      </w:r>
      <w:r>
        <w:t xml:space="preserve">to you for amendment, you will receive an email notification informing you your </w:t>
      </w:r>
      <w:r w:rsidRPr="00270FF0">
        <w:t>Performance Report</w:t>
      </w:r>
      <w:r w:rsidRPr="00B558DE">
        <w:rPr>
          <w:i/>
          <w:iCs/>
        </w:rPr>
        <w:t xml:space="preserve"> </w:t>
      </w:r>
      <w:r>
        <w:t>is ready for you to review and update as required.</w:t>
      </w:r>
    </w:p>
    <w:p w14:paraId="6198EB9C" w14:textId="0FB4FA7A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12DF2908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63F2DE8E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E21E5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based on DSS FAM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63F2DE8E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E21E5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based on DSS FAM Feedback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0C089B">
        <w:t xml:space="preserve">your </w:t>
      </w:r>
      <w:r w:rsidR="00270FF0">
        <w:t xml:space="preserve">IAHP PHC </w:t>
      </w:r>
      <w:r w:rsidR="000C089B" w:rsidRPr="00270FF0">
        <w:t>Performance Report</w:t>
      </w:r>
      <w:r w:rsidR="000C089B">
        <w:t xml:space="preserve"> </w:t>
      </w:r>
      <w:r w:rsidR="00A675D4">
        <w:t>in the Data Portal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41F0A27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</w:t>
      </w:r>
      <w:r w:rsidR="000C089B">
        <w:rPr>
          <w:noProof/>
          <w:lang w:eastAsia="en-AU"/>
        </w:rPr>
        <w:t xml:space="preserve">your </w:t>
      </w:r>
      <w:r w:rsidRPr="008160E5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67D72B8" w14:textId="13BA05AD" w:rsidR="000C089B" w:rsidRPr="000C089B" w:rsidRDefault="009B70A2" w:rsidP="000C089B">
      <w:pPr>
        <w:pStyle w:val="QRGPictureCentre"/>
      </w:pPr>
      <w:r>
        <w:drawing>
          <wp:inline distT="0" distB="0" distL="0" distR="0" wp14:anchorId="74006E9F" wp14:editId="676E7E7E">
            <wp:extent cx="3105150" cy="2257425"/>
            <wp:effectExtent l="19050" t="19050" r="19050" b="28575"/>
            <wp:docPr id="4" name="Picture 4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5D57ED23" w:rsidR="000A486B" w:rsidRDefault="000A486B" w:rsidP="000A486B">
      <w:pPr>
        <w:pStyle w:val="QRGNumbering1"/>
      </w:pPr>
      <w:r>
        <w:t xml:space="preserve">To open </w:t>
      </w:r>
      <w:r w:rsidR="009B70A2">
        <w:t xml:space="preserve">your </w:t>
      </w:r>
      <w:r w:rsidR="009B70A2" w:rsidRPr="00270FF0">
        <w:t>Performance Report</w:t>
      </w:r>
      <w:r w:rsidRPr="00270FF0">
        <w:t>,</w:t>
      </w:r>
      <w:r>
        <w:t xml:space="preserve"> hover your mouse pointer to the right of the </w:t>
      </w:r>
      <w:r w:rsidR="00270FF0">
        <w:t>Performance Report reporting round</w:t>
      </w:r>
      <w:r>
        <w:t xml:space="preserve"> text in the </w:t>
      </w:r>
      <w:r w:rsidRPr="000A486B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1E883DF7" w:rsidR="000A486B" w:rsidRDefault="009B70A2" w:rsidP="000A486B">
      <w:pPr>
        <w:pStyle w:val="QRGText"/>
      </w:pPr>
      <w:r>
        <w:t xml:space="preserve">Your </w:t>
      </w:r>
      <w:r w:rsidR="00270FF0">
        <w:t xml:space="preserve">IAHP PHC </w:t>
      </w:r>
      <w:r w:rsidRPr="00270FF0">
        <w:t>Performance Report</w:t>
      </w:r>
      <w:r w:rsidR="000A486B">
        <w:t xml:space="preserve"> will </w:t>
      </w:r>
      <w:r>
        <w:t>open</w:t>
      </w:r>
      <w:r w:rsidR="000A486B">
        <w:t xml:space="preserve">. </w:t>
      </w:r>
    </w:p>
    <w:p w14:paraId="5273F5A6" w14:textId="72F88B3C" w:rsidR="00250EEC" w:rsidRPr="00D153D5" w:rsidRDefault="00250EEC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6C722D6" wp14:editId="2A6EAFA6">
            <wp:extent cx="3105150" cy="1752600"/>
            <wp:effectExtent l="19050" t="19050" r="19050" b="19050"/>
            <wp:docPr id="3" name="Picture 3" descr="picture of the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1158361E" w:rsidR="00DA2295" w:rsidRDefault="000A486B" w:rsidP="00DA2295">
      <w:pPr>
        <w:pStyle w:val="QRGText"/>
      </w:pPr>
      <w:r>
        <w:t xml:space="preserve">Any sections </w:t>
      </w:r>
      <w:r w:rsidR="009B70A2">
        <w:t xml:space="preserve">of your report </w:t>
      </w:r>
      <w:r>
        <w:t xml:space="preserve">containing </w:t>
      </w:r>
      <w:r w:rsidR="009B70A2">
        <w:t>DSS FAM</w:t>
      </w:r>
      <w:r>
        <w:t xml:space="preserve"> comments will contain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 xml:space="preserve">of these </w:t>
      </w:r>
      <w:r w:rsidR="00DA2295">
        <w:t>indicator</w:t>
      </w:r>
      <w:r>
        <w:t>s/sections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DA2295">
        <w:t xml:space="preserve"> </w:t>
      </w:r>
      <w:r w:rsidR="002C0EB6">
        <w:t xml:space="preserve">the </w:t>
      </w:r>
      <w:r w:rsidR="009B70A2">
        <w:t>FAM</w:t>
      </w:r>
      <w:r w:rsidR="00532B14">
        <w:t xml:space="preserve"> has made</w:t>
      </w:r>
      <w:r w:rsidR="00DA2295">
        <w:t>.</w:t>
      </w:r>
    </w:p>
    <w:p w14:paraId="0F8F2ACB" w14:textId="56D4CCD3" w:rsidR="002B4EF5" w:rsidRDefault="004B2D2C" w:rsidP="007F12EB">
      <w:pPr>
        <w:pStyle w:val="QRGNumbering1"/>
      </w:pPr>
      <w:r>
        <w:t xml:space="preserve">For each </w:t>
      </w:r>
      <w:r w:rsidR="000A486B">
        <w:t xml:space="preserve">section </w:t>
      </w:r>
      <w:r w:rsidR="009B70A2">
        <w:t xml:space="preserve">of your form </w:t>
      </w:r>
      <w:r w:rsidR="000A486B">
        <w:t>with data validation flags</w:t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 xml:space="preserve">comment made by </w:t>
      </w:r>
      <w:r w:rsidR="009B70A2">
        <w:t>your FAM</w:t>
      </w:r>
      <w:r w:rsidR="000A486B">
        <w:t xml:space="preserve"> in the</w:t>
      </w:r>
      <w:r w:rsidR="00453FBE">
        <w:t xml:space="preserve"> applicable</w:t>
      </w:r>
      <w:r w:rsidR="000A486B">
        <w:t xml:space="preserve"> </w:t>
      </w:r>
      <w:r w:rsidR="000A486B" w:rsidRPr="00F402A3">
        <w:rPr>
          <w:b/>
        </w:rPr>
        <w:t>Notifications Tray</w:t>
      </w:r>
      <w:r w:rsidR="007F12EB">
        <w:t>.</w:t>
      </w:r>
    </w:p>
    <w:p w14:paraId="02695A08" w14:textId="3C00F765" w:rsidR="007F12EB" w:rsidRDefault="00532B14" w:rsidP="007F12EB">
      <w:pPr>
        <w:pStyle w:val="QRGNumbering1"/>
      </w:pPr>
      <w:r>
        <w:t xml:space="preserve">If </w:t>
      </w:r>
      <w:r w:rsidR="009B70A2">
        <w:t>text</w:t>
      </w:r>
      <w:r>
        <w:t xml:space="preserve"> needs to be </w:t>
      </w:r>
      <w:r w:rsidR="009B70A2">
        <w:t>updated</w:t>
      </w:r>
      <w:r>
        <w:t xml:space="preserve">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</w:t>
      </w:r>
      <w:r w:rsidR="009B70A2">
        <w:t>your FAM</w:t>
      </w:r>
      <w:r>
        <w:t xml:space="preserve">, </w:t>
      </w:r>
      <w:r w:rsidR="009B70A2">
        <w:t xml:space="preserve">make the changes in the </w:t>
      </w:r>
      <w:r w:rsidR="00453FBE">
        <w:t>applicable</w:t>
      </w:r>
      <w:r w:rsidR="009B70A2">
        <w:t xml:space="preserve"> cell(s) as needed</w:t>
      </w:r>
      <w:r w:rsidR="007F12EB">
        <w:t>.</w:t>
      </w:r>
    </w:p>
    <w:p w14:paraId="6672E4A0" w14:textId="12746942" w:rsidR="00293A10" w:rsidRDefault="00293A10" w:rsidP="00293A10">
      <w:pPr>
        <w:pStyle w:val="QRGText"/>
      </w:pPr>
      <w:r>
        <w:rPr>
          <w:noProof/>
          <w:lang w:eastAsia="en-AU"/>
        </w:rPr>
        <w:drawing>
          <wp:inline distT="0" distB="0" distL="0" distR="0" wp14:anchorId="3E247AF8" wp14:editId="4A391C5F">
            <wp:extent cx="216000" cy="216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When you add text to a cell in your form at this stage of the process, it will look the same as the previous text you have entered</w:t>
      </w:r>
      <w:r w:rsidR="00453FBE">
        <w:t xml:space="preserve">, so please add some detail regarding the changes you have made in the response you have to make to the FAM’s comment. </w:t>
      </w:r>
    </w:p>
    <w:p w14:paraId="09480DA6" w14:textId="467E323F" w:rsidR="00453FBE" w:rsidRDefault="00453FBE" w:rsidP="00453FB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Once you have made the required text changes, you will need to respond to the comment your FAM left.</w:t>
      </w:r>
    </w:p>
    <w:p w14:paraId="2D000A5B" w14:textId="62677ECD" w:rsidR="00453FBE" w:rsidRDefault="00453FBE" w:rsidP="00881BA5">
      <w:pPr>
        <w:pStyle w:val="QRGNumbering1"/>
      </w:pPr>
      <w:r>
        <w:t>To do this, select</w:t>
      </w:r>
      <w:r w:rsidR="00985263">
        <w:t xml:space="preserve"> </w:t>
      </w:r>
      <w:r w:rsidR="00985263">
        <w:rPr>
          <w:noProof/>
        </w:rPr>
        <w:drawing>
          <wp:inline distT="0" distB="0" distL="0" distR="0" wp14:anchorId="3DBACCBC" wp14:editId="53AB7EF4">
            <wp:extent cx="237600" cy="216000"/>
            <wp:effectExtent l="0" t="0" r="0" b="0"/>
            <wp:docPr id="10" name="Picture 10" descr="Res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sp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85263">
        <w:t>next to</w:t>
      </w:r>
      <w:r w:rsidR="00860C81">
        <w:t xml:space="preserve"> the applicable FAM comment in the </w:t>
      </w:r>
      <w:r w:rsidR="00860C81" w:rsidRPr="00860C81">
        <w:rPr>
          <w:b/>
          <w:bCs/>
        </w:rPr>
        <w:t>Notifications Tray</w:t>
      </w:r>
      <w:r w:rsidR="00860C81">
        <w:t>.</w:t>
      </w:r>
    </w:p>
    <w:p w14:paraId="1CCD9717" w14:textId="4F43A886" w:rsidR="00860C81" w:rsidRDefault="00985263" w:rsidP="00881BA5">
      <w:pPr>
        <w:pStyle w:val="QRGNumbering1"/>
      </w:pPr>
      <w:r>
        <w:t xml:space="preserve">In the </w:t>
      </w:r>
      <w:r w:rsidRPr="00985263">
        <w:rPr>
          <w:b/>
          <w:bCs/>
        </w:rPr>
        <w:t>Respond to Comment</w:t>
      </w:r>
      <w:r>
        <w:t xml:space="preserve"> window, select </w:t>
      </w:r>
      <w:r>
        <w:rPr>
          <w:noProof/>
        </w:rPr>
        <w:drawing>
          <wp:inline distT="0" distB="0" distL="0" distR="0" wp14:anchorId="0688D01F" wp14:editId="447F2913">
            <wp:extent cx="172800" cy="216000"/>
            <wp:effectExtent l="0" t="0" r="0" b="0"/>
            <wp:docPr id="11" name="Picture 11" descr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down arr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985263">
        <w:rPr>
          <w:b/>
          <w:bCs/>
        </w:rPr>
        <w:t>Reason</w:t>
      </w:r>
      <w:r>
        <w:t xml:space="preserve"> field and select </w:t>
      </w:r>
      <w:r w:rsidRPr="00985263">
        <w:rPr>
          <w:b/>
          <w:bCs/>
        </w:rPr>
        <w:t>Other (specify)</w:t>
      </w:r>
      <w:r>
        <w:t>.</w:t>
      </w:r>
    </w:p>
    <w:p w14:paraId="71A4F491" w14:textId="17D77534" w:rsidR="004021FE" w:rsidRDefault="004021FE" w:rsidP="00881BA5">
      <w:pPr>
        <w:pStyle w:val="QRGNumbering1"/>
      </w:pPr>
      <w:r>
        <w:t xml:space="preserve">In the </w:t>
      </w:r>
      <w:r w:rsidRPr="004021FE">
        <w:rPr>
          <w:b/>
          <w:bCs/>
        </w:rPr>
        <w:t>Additional Information</w:t>
      </w:r>
      <w:r>
        <w:t xml:space="preserve"> field, enter text explaining the amendments you have made.</w:t>
      </w:r>
    </w:p>
    <w:p w14:paraId="3FB80596" w14:textId="0189A94B" w:rsidR="004021FE" w:rsidRDefault="004021FE" w:rsidP="00881BA5">
      <w:pPr>
        <w:pStyle w:val="QRGNumbering1"/>
      </w:pPr>
      <w:r>
        <w:t xml:space="preserve">To save your response, select </w:t>
      </w:r>
      <w:r>
        <w:rPr>
          <w:noProof/>
        </w:rPr>
        <w:drawing>
          <wp:inline distT="0" distB="0" distL="0" distR="0" wp14:anchorId="2AA363C4" wp14:editId="64A7B435">
            <wp:extent cx="489600" cy="216000"/>
            <wp:effectExtent l="19050" t="19050" r="24765" b="12700"/>
            <wp:docPr id="13" name="Picture 13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BCDEED" w14:textId="5A29FC4F" w:rsidR="004021FE" w:rsidRDefault="004021FE" w:rsidP="004021FE">
      <w:pPr>
        <w:pStyle w:val="QRGText"/>
      </w:pPr>
      <w:r>
        <w:t xml:space="preserve">Your response has now been added to the DSS FAM comment and the </w:t>
      </w:r>
      <w:r>
        <w:rPr>
          <w:noProof/>
          <w:lang w:eastAsia="en-AU"/>
        </w:rPr>
        <w:drawing>
          <wp:inline distT="0" distB="0" distL="0" distR="0" wp14:anchorId="50C6230F" wp14:editId="7D7AE7BA">
            <wp:extent cx="180000" cy="180000"/>
            <wp:effectExtent l="0" t="0" r="0" b="0"/>
            <wp:docPr id="15" name="Picture 1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section should now have been replaced by</w:t>
      </w:r>
      <w:r w:rsidR="00873D27">
        <w:t xml:space="preserve"> </w:t>
      </w:r>
      <w:r w:rsidR="00873D27">
        <w:rPr>
          <w:noProof/>
        </w:rPr>
        <w:drawing>
          <wp:inline distT="0" distB="0" distL="0" distR="0" wp14:anchorId="5B5F081B" wp14:editId="22A3B59C">
            <wp:extent cx="274320" cy="182880"/>
            <wp:effectExtent l="0" t="0" r="0" b="7620"/>
            <wp:docPr id="20" name="Picture 20" descr="a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peech bub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D27">
        <w:t>.</w:t>
      </w:r>
      <w:r>
        <w:t xml:space="preserve">  </w:t>
      </w:r>
    </w:p>
    <w:p w14:paraId="0B636161" w14:textId="6C301D1E" w:rsidR="004021FE" w:rsidRDefault="004021FE" w:rsidP="004021FE">
      <w:pPr>
        <w:pStyle w:val="QRGNumbering1"/>
      </w:pPr>
      <w:r>
        <w:t xml:space="preserve">Repeat </w:t>
      </w:r>
      <w:r w:rsidRPr="00873D27">
        <w:rPr>
          <w:b/>
          <w:bCs/>
        </w:rPr>
        <w:t>steps 4</w:t>
      </w:r>
      <w:r>
        <w:t xml:space="preserve"> to </w:t>
      </w:r>
      <w:r w:rsidRPr="00873D27">
        <w:rPr>
          <w:b/>
          <w:bCs/>
        </w:rPr>
        <w:t>9</w:t>
      </w:r>
      <w:r>
        <w:t xml:space="preserve"> for an</w:t>
      </w:r>
      <w:r w:rsidR="00873D27">
        <w:t xml:space="preserve">y </w:t>
      </w:r>
      <w:r>
        <w:t>other comments your DSS FAM has left in the form.</w:t>
      </w:r>
    </w:p>
    <w:p w14:paraId="213C521C" w14:textId="6D03271A" w:rsidR="00754EAA" w:rsidRDefault="00754EAA" w:rsidP="00881BA5">
      <w:pPr>
        <w:pStyle w:val="QRGNumbering1"/>
      </w:pPr>
      <w:r w:rsidRPr="00876FC5">
        <w:t xml:space="preserve">To exit the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>ome screen will again display with the Reporting Dashboard open.</w:t>
      </w:r>
    </w:p>
    <w:p w14:paraId="4274F63C" w14:textId="7C26D69D" w:rsidR="0004564F" w:rsidRPr="0004564F" w:rsidRDefault="0004564F" w:rsidP="0004564F">
      <w:pPr>
        <w:pStyle w:val="QRGNumbering1"/>
      </w:pPr>
      <w:r w:rsidRPr="0004564F">
        <w:t xml:space="preserve">To </w:t>
      </w:r>
      <w:r w:rsidR="00293A10">
        <w:t xml:space="preserve">commence the process of sending your updated </w:t>
      </w:r>
      <w:r w:rsidR="00293A10" w:rsidRPr="00270FF0">
        <w:t>Performance Report</w:t>
      </w:r>
      <w:r w:rsidR="00293A10">
        <w:t xml:space="preserve"> back to your FAM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77777777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required. </w:t>
      </w:r>
    </w:p>
    <w:p w14:paraId="711DC297" w14:textId="77777777" w:rsidR="00270FF0" w:rsidRDefault="00270FF0" w:rsidP="00822029">
      <w:pPr>
        <w:pStyle w:val="QRGText"/>
      </w:pPr>
    </w:p>
    <w:p w14:paraId="3FF610F5" w14:textId="6BBDF2F0" w:rsidR="00822029" w:rsidRDefault="00822029" w:rsidP="00822029">
      <w:pPr>
        <w:pStyle w:val="QRGText"/>
      </w:pPr>
      <w:r>
        <w:lastRenderedPageBreak/>
        <w:t>The available actions are:</w:t>
      </w:r>
    </w:p>
    <w:p w14:paraId="5DF56749" w14:textId="3CFB042B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the </w:t>
      </w:r>
      <w:r w:rsidR="00293A10">
        <w:t>report</w:t>
      </w:r>
      <w:r>
        <w:t xml:space="preserve"> to the internal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34CB36C3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the </w:t>
      </w:r>
      <w:r w:rsidR="00293A10">
        <w:t>report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4AFF7868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0C024DF8">
            <wp:extent cx="216000" cy="216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270FF0">
        <w:t>IAHP PHC Performance Report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the </w:t>
      </w:r>
      <w:r w:rsidR="00293A10" w:rsidRPr="00270FF0">
        <w:t>Performance Report</w:t>
      </w:r>
      <w:r w:rsidR="007E3A30">
        <w:t xml:space="preserve"> and submit it directly to </w:t>
      </w:r>
      <w:r w:rsidR="00293A10">
        <w:t>your</w:t>
      </w:r>
      <w:r w:rsidR="00077D20">
        <w:t xml:space="preserve"> </w:t>
      </w:r>
      <w:r w:rsidR="00293A10">
        <w:t>FAM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56B19131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regarding the action being performed on the </w:t>
      </w:r>
      <w:r w:rsidR="00293A10">
        <w:t>report</w:t>
      </w:r>
      <w:r>
        <w:t>.</w:t>
      </w:r>
      <w:r w:rsidR="00910061">
        <w:t xml:space="preserve"> </w:t>
      </w:r>
    </w:p>
    <w:p w14:paraId="10A7A0C7" w14:textId="4D3F29A4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the </w:t>
      </w:r>
      <w:r w:rsidR="00293A10" w:rsidRPr="00270FF0">
        <w:t>Performance</w:t>
      </w:r>
      <w:r w:rsidR="00293A10" w:rsidRPr="00293A10">
        <w:rPr>
          <w:i/>
          <w:iCs/>
        </w:rPr>
        <w:t xml:space="preserve"> </w:t>
      </w:r>
      <w:r w:rsidR="00293A10">
        <w:t>Report</w:t>
      </w:r>
      <w:r>
        <w:t>, depending on the action you have selected:</w:t>
      </w:r>
    </w:p>
    <w:p w14:paraId="09CFB701" w14:textId="1805814D" w:rsidR="0050699D" w:rsidRDefault="0050699D" w:rsidP="0050699D">
      <w:pPr>
        <w:pStyle w:val="QRGNumbering2"/>
      </w:pPr>
      <w:r>
        <w:t xml:space="preserve">To send the </w:t>
      </w:r>
      <w:r w:rsidR="00293A10">
        <w:t>report</w:t>
      </w:r>
      <w:r>
        <w:t xml:space="preserve"> to the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a</w:t>
      </w:r>
      <w:r>
        <w:rPr>
          <w:i/>
        </w:rPr>
        <w:t xml:space="preserve">n </w:t>
      </w:r>
      <w:r w:rsidR="00C93E01">
        <w:rPr>
          <w:i/>
        </w:rPr>
        <w:t>Indigenous Health</w:t>
      </w:r>
      <w:r w:rsidRPr="00624F06">
        <w:rPr>
          <w:i/>
        </w:rPr>
        <w:t xml:space="preserve"> Data Asset Submission</w:t>
      </w:r>
      <w:r>
        <w:rPr>
          <w:i/>
        </w:rPr>
        <w:t xml:space="preserve"> as Part of Exception Reporting </w:t>
      </w:r>
      <w:r>
        <w:t>QRG for the next step in the process.</w:t>
      </w:r>
    </w:p>
    <w:p w14:paraId="00AC6A7F" w14:textId="21810A64" w:rsidR="0048105C" w:rsidRDefault="00896F67" w:rsidP="00DD7183">
      <w:pPr>
        <w:pStyle w:val="QRGNumbering2"/>
      </w:pPr>
      <w:r w:rsidRPr="0048105C">
        <w:t xml:space="preserve">To send the </w:t>
      </w:r>
      <w:r w:rsidR="00293A10">
        <w:t>report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>
        <w:t xml:space="preserve">See the </w:t>
      </w:r>
      <w:r w:rsidRPr="00624F06">
        <w:rPr>
          <w:i/>
        </w:rPr>
        <w:t>Approve a</w:t>
      </w:r>
      <w:r w:rsidR="000D2548">
        <w:rPr>
          <w:i/>
        </w:rPr>
        <w:t xml:space="preserve">n </w:t>
      </w:r>
      <w:r w:rsidR="00C93E01">
        <w:rPr>
          <w:i/>
        </w:rPr>
        <w:t>Indigenous Health</w:t>
      </w:r>
      <w:r w:rsidRPr="00624F06">
        <w:rPr>
          <w:i/>
        </w:rPr>
        <w:t xml:space="preserve"> Data Asset Submission</w:t>
      </w:r>
      <w:r w:rsidR="000253EA">
        <w:rPr>
          <w:i/>
        </w:rPr>
        <w:t xml:space="preserve"> as Part of Exception Reporting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1635E190">
                <wp:simplePos x="0" y="0"/>
                <wp:positionH relativeFrom="column">
                  <wp:posOffset>2526030</wp:posOffset>
                </wp:positionH>
                <wp:positionV relativeFrom="page">
                  <wp:posOffset>276225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2ED2368E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E21E5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 based on DSS FAM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1.7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w9LQLuAAAAALAQAADwAAAAAA&#10;AAAAAAAAAABXBAAAZHJzL2Rvd25yZXYueG1sUEsFBgAAAAAEAAQA8wAAAGQFAAAAAA==&#10;" filled="f" stroked="f">
                <v:textbox style="mso-fit-shape-to-text:t">
                  <w:txbxContent>
                    <w:p w14:paraId="60481354" w14:textId="2ED2368E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E21E5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 based on DSS FAM Feedback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51185EA3" w:rsidR="00896F67" w:rsidRDefault="00C473E5" w:rsidP="00896F67">
      <w:pPr>
        <w:pStyle w:val="QRGText"/>
      </w:pPr>
      <w:r>
        <w:t xml:space="preserve">The </w:t>
      </w:r>
      <w:r w:rsidR="00270FF0">
        <w:t xml:space="preserve">IAHP PHC </w:t>
      </w:r>
      <w:r w:rsidR="00293A10" w:rsidRPr="00270FF0">
        <w:t>Performance Report</w:t>
      </w:r>
      <w:r w:rsidR="00896F67">
        <w:t xml:space="preserve"> has now been </w:t>
      </w:r>
      <w:r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947261">
        <w:t>h</w:t>
      </w:r>
      <w:r w:rsidR="00630A6B">
        <w:t xml:space="preserve">ealth </w:t>
      </w:r>
      <w:r w:rsidR="00947261">
        <w:t>s</w:t>
      </w:r>
      <w:r w:rsidR="00630A6B">
        <w:t>ervice’s</w:t>
      </w:r>
      <w:r w:rsidR="000253EA">
        <w:t xml:space="preserve"> 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>or sent straight on to the CEO or their representative for approval.</w:t>
      </w:r>
      <w:r w:rsidR="00896F67">
        <w:t xml:space="preserve"> </w:t>
      </w:r>
    </w:p>
    <w:p w14:paraId="14AC6F17" w14:textId="5F523005" w:rsidR="00FF7F18" w:rsidRPr="0058320B" w:rsidRDefault="00FF7F18" w:rsidP="00FF7F18">
      <w:pPr>
        <w:pStyle w:val="QRGText"/>
      </w:pPr>
      <w:r>
        <w:t xml:space="preserve">An automated email will be sent to all staff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270FF0">
        <w:t xml:space="preserve">IAHP PHC </w:t>
      </w:r>
      <w:r w:rsidR="00293A10" w:rsidRPr="00270FF0">
        <w:t>Performance Report</w:t>
      </w:r>
      <w:r>
        <w:t xml:space="preserve"> 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C5BA" w14:textId="77777777" w:rsidR="00867BBA" w:rsidRDefault="00867BBA" w:rsidP="00AF798B">
      <w:pPr>
        <w:spacing w:before="0" w:after="0"/>
      </w:pPr>
      <w:r>
        <w:separator/>
      </w:r>
    </w:p>
    <w:p w14:paraId="6CF55127" w14:textId="77777777" w:rsidR="00867BBA" w:rsidRDefault="00867BBA"/>
  </w:endnote>
  <w:endnote w:type="continuationSeparator" w:id="0">
    <w:p w14:paraId="5073B879" w14:textId="77777777" w:rsidR="00867BBA" w:rsidRDefault="00867BBA" w:rsidP="00AF798B">
      <w:pPr>
        <w:spacing w:before="0" w:after="0"/>
      </w:pPr>
      <w:r>
        <w:continuationSeparator/>
      </w:r>
    </w:p>
    <w:p w14:paraId="0278E9E7" w14:textId="77777777" w:rsidR="00867BBA" w:rsidRDefault="00867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D5CB" w14:textId="77777777" w:rsidR="00867BBA" w:rsidRDefault="00867BBA" w:rsidP="00AF798B">
      <w:pPr>
        <w:spacing w:before="0" w:after="0"/>
      </w:pPr>
      <w:r>
        <w:separator/>
      </w:r>
    </w:p>
    <w:p w14:paraId="46C0C60E" w14:textId="77777777" w:rsidR="00867BBA" w:rsidRDefault="00867BBA"/>
  </w:footnote>
  <w:footnote w:type="continuationSeparator" w:id="0">
    <w:p w14:paraId="4186B099" w14:textId="77777777" w:rsidR="00867BBA" w:rsidRDefault="00867BBA" w:rsidP="00AF798B">
      <w:pPr>
        <w:spacing w:before="0" w:after="0"/>
      </w:pPr>
      <w:r>
        <w:continuationSeparator/>
      </w:r>
    </w:p>
    <w:p w14:paraId="6731ABBB" w14:textId="77777777" w:rsidR="00867BBA" w:rsidRDefault="00867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4E3B0F12" w:rsidR="00AF798B" w:rsidRPr="00EB6A7A" w:rsidRDefault="00D23F40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ABE036D" wp14:editId="013A32B3">
          <wp:simplePos x="0" y="0"/>
          <wp:positionH relativeFrom="column">
            <wp:posOffset>-150495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2" name="Picture 2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94251">
    <w:abstractNumId w:val="12"/>
  </w:num>
  <w:num w:numId="2" w16cid:durableId="60833774">
    <w:abstractNumId w:val="10"/>
  </w:num>
  <w:num w:numId="3" w16cid:durableId="589119733">
    <w:abstractNumId w:val="14"/>
  </w:num>
  <w:num w:numId="4" w16cid:durableId="1052196357">
    <w:abstractNumId w:val="10"/>
    <w:lvlOverride w:ilvl="0">
      <w:startOverride w:val="1"/>
    </w:lvlOverride>
  </w:num>
  <w:num w:numId="5" w16cid:durableId="64836897">
    <w:abstractNumId w:val="10"/>
    <w:lvlOverride w:ilvl="0">
      <w:startOverride w:val="1"/>
    </w:lvlOverride>
  </w:num>
  <w:num w:numId="6" w16cid:durableId="304553114">
    <w:abstractNumId w:val="10"/>
    <w:lvlOverride w:ilvl="0">
      <w:startOverride w:val="1"/>
    </w:lvlOverride>
  </w:num>
  <w:num w:numId="7" w16cid:durableId="1566598592">
    <w:abstractNumId w:val="9"/>
  </w:num>
  <w:num w:numId="8" w16cid:durableId="1152020256">
    <w:abstractNumId w:val="7"/>
  </w:num>
  <w:num w:numId="9" w16cid:durableId="1840854002">
    <w:abstractNumId w:val="6"/>
  </w:num>
  <w:num w:numId="10" w16cid:durableId="1527131962">
    <w:abstractNumId w:val="5"/>
  </w:num>
  <w:num w:numId="11" w16cid:durableId="635649410">
    <w:abstractNumId w:val="4"/>
  </w:num>
  <w:num w:numId="12" w16cid:durableId="1732146142">
    <w:abstractNumId w:val="8"/>
  </w:num>
  <w:num w:numId="13" w16cid:durableId="1863200410">
    <w:abstractNumId w:val="3"/>
  </w:num>
  <w:num w:numId="14" w16cid:durableId="119154213">
    <w:abstractNumId w:val="2"/>
  </w:num>
  <w:num w:numId="15" w16cid:durableId="139421494">
    <w:abstractNumId w:val="1"/>
  </w:num>
  <w:num w:numId="16" w16cid:durableId="1677535894">
    <w:abstractNumId w:val="0"/>
  </w:num>
  <w:num w:numId="17" w16cid:durableId="1844978908">
    <w:abstractNumId w:val="13"/>
  </w:num>
  <w:num w:numId="18" w16cid:durableId="1649746296">
    <w:abstractNumId w:val="10"/>
    <w:lvlOverride w:ilvl="0">
      <w:startOverride w:val="1"/>
    </w:lvlOverride>
  </w:num>
  <w:num w:numId="19" w16cid:durableId="732653949">
    <w:abstractNumId w:val="10"/>
    <w:lvlOverride w:ilvl="0">
      <w:startOverride w:val="1"/>
    </w:lvlOverride>
  </w:num>
  <w:num w:numId="20" w16cid:durableId="1480418872">
    <w:abstractNumId w:val="10"/>
    <w:lvlOverride w:ilvl="0">
      <w:startOverride w:val="1"/>
    </w:lvlOverride>
  </w:num>
  <w:num w:numId="21" w16cid:durableId="744494078">
    <w:abstractNumId w:val="10"/>
  </w:num>
  <w:num w:numId="22" w16cid:durableId="82726699">
    <w:abstractNumId w:val="10"/>
    <w:lvlOverride w:ilvl="0">
      <w:startOverride w:val="1"/>
    </w:lvlOverride>
  </w:num>
  <w:num w:numId="23" w16cid:durableId="1966546331">
    <w:abstractNumId w:val="10"/>
    <w:lvlOverride w:ilvl="0">
      <w:startOverride w:val="1"/>
    </w:lvlOverride>
  </w:num>
  <w:num w:numId="24" w16cid:durableId="1552421490">
    <w:abstractNumId w:val="11"/>
  </w:num>
  <w:num w:numId="25" w16cid:durableId="1937057620">
    <w:abstractNumId w:val="10"/>
    <w:lvlOverride w:ilvl="0">
      <w:startOverride w:val="1"/>
    </w:lvlOverride>
  </w:num>
  <w:num w:numId="26" w16cid:durableId="1258754254">
    <w:abstractNumId w:val="10"/>
    <w:lvlOverride w:ilvl="0">
      <w:startOverride w:val="1"/>
    </w:lvlOverride>
  </w:num>
  <w:num w:numId="27" w16cid:durableId="1648782004">
    <w:abstractNumId w:val="10"/>
    <w:lvlOverride w:ilvl="0">
      <w:startOverride w:val="1"/>
    </w:lvlOverride>
  </w:num>
  <w:num w:numId="28" w16cid:durableId="300693036">
    <w:abstractNumId w:val="10"/>
    <w:lvlOverride w:ilvl="0">
      <w:startOverride w:val="1"/>
    </w:lvlOverride>
  </w:num>
  <w:num w:numId="29" w16cid:durableId="151143987">
    <w:abstractNumId w:val="10"/>
    <w:lvlOverride w:ilvl="0">
      <w:startOverride w:val="1"/>
    </w:lvlOverride>
  </w:num>
  <w:num w:numId="30" w16cid:durableId="1058938603">
    <w:abstractNumId w:val="10"/>
  </w:num>
  <w:num w:numId="31" w16cid:durableId="979460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2447371">
    <w:abstractNumId w:val="10"/>
  </w:num>
  <w:num w:numId="33" w16cid:durableId="485245343">
    <w:abstractNumId w:val="10"/>
  </w:num>
  <w:num w:numId="34" w16cid:durableId="1342776585">
    <w:abstractNumId w:val="10"/>
  </w:num>
  <w:num w:numId="35" w16cid:durableId="2095664499">
    <w:abstractNumId w:val="10"/>
    <w:lvlOverride w:ilvl="0">
      <w:startOverride w:val="1"/>
    </w:lvlOverride>
  </w:num>
  <w:num w:numId="36" w16cid:durableId="1463843253">
    <w:abstractNumId w:val="10"/>
  </w:num>
  <w:num w:numId="37" w16cid:durableId="1989899964">
    <w:abstractNumId w:val="10"/>
  </w:num>
  <w:num w:numId="38" w16cid:durableId="1087464355">
    <w:abstractNumId w:val="10"/>
  </w:num>
  <w:num w:numId="39" w16cid:durableId="1440763080">
    <w:abstractNumId w:val="10"/>
    <w:lvlOverride w:ilvl="0">
      <w:startOverride w:val="1"/>
    </w:lvlOverride>
  </w:num>
  <w:num w:numId="40" w16cid:durableId="480271150">
    <w:abstractNumId w:val="10"/>
    <w:lvlOverride w:ilvl="0">
      <w:startOverride w:val="1"/>
    </w:lvlOverride>
  </w:num>
  <w:num w:numId="41" w16cid:durableId="854076711">
    <w:abstractNumId w:val="10"/>
    <w:lvlOverride w:ilvl="0">
      <w:startOverride w:val="1"/>
    </w:lvlOverride>
  </w:num>
  <w:num w:numId="42" w16cid:durableId="1784112743">
    <w:abstractNumId w:val="10"/>
  </w:num>
  <w:num w:numId="43" w16cid:durableId="108280052">
    <w:abstractNumId w:val="10"/>
    <w:lvlOverride w:ilvl="0">
      <w:startOverride w:val="1"/>
    </w:lvlOverride>
  </w:num>
  <w:num w:numId="44" w16cid:durableId="786584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E"/>
    <w:rsid w:val="00003743"/>
    <w:rsid w:val="0002538B"/>
    <w:rsid w:val="000253EA"/>
    <w:rsid w:val="0004564F"/>
    <w:rsid w:val="00056198"/>
    <w:rsid w:val="00067456"/>
    <w:rsid w:val="00077D20"/>
    <w:rsid w:val="00093721"/>
    <w:rsid w:val="000A486B"/>
    <w:rsid w:val="000C089B"/>
    <w:rsid w:val="000C5F60"/>
    <w:rsid w:val="000D2548"/>
    <w:rsid w:val="000D6C3A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872A7"/>
    <w:rsid w:val="001A1789"/>
    <w:rsid w:val="001B3443"/>
    <w:rsid w:val="002003C0"/>
    <w:rsid w:val="00200606"/>
    <w:rsid w:val="00201F9E"/>
    <w:rsid w:val="00240891"/>
    <w:rsid w:val="00240D55"/>
    <w:rsid w:val="00250EEC"/>
    <w:rsid w:val="00267DA6"/>
    <w:rsid w:val="00270FF0"/>
    <w:rsid w:val="0028221F"/>
    <w:rsid w:val="00293A10"/>
    <w:rsid w:val="002A7FC1"/>
    <w:rsid w:val="002B4EF5"/>
    <w:rsid w:val="002C0EB6"/>
    <w:rsid w:val="002E4840"/>
    <w:rsid w:val="002E6941"/>
    <w:rsid w:val="002F40D5"/>
    <w:rsid w:val="0030786C"/>
    <w:rsid w:val="0031380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21FE"/>
    <w:rsid w:val="004063E8"/>
    <w:rsid w:val="0041771E"/>
    <w:rsid w:val="00417F40"/>
    <w:rsid w:val="00427021"/>
    <w:rsid w:val="0043730A"/>
    <w:rsid w:val="00453FBE"/>
    <w:rsid w:val="00462B5F"/>
    <w:rsid w:val="0048105C"/>
    <w:rsid w:val="004867E2"/>
    <w:rsid w:val="004B0826"/>
    <w:rsid w:val="004B2D2C"/>
    <w:rsid w:val="004B2D79"/>
    <w:rsid w:val="0050699D"/>
    <w:rsid w:val="005309E6"/>
    <w:rsid w:val="00532B14"/>
    <w:rsid w:val="0054225E"/>
    <w:rsid w:val="00565303"/>
    <w:rsid w:val="0056530D"/>
    <w:rsid w:val="00572F26"/>
    <w:rsid w:val="0057671C"/>
    <w:rsid w:val="0058320B"/>
    <w:rsid w:val="0059284C"/>
    <w:rsid w:val="005C750A"/>
    <w:rsid w:val="005D2E05"/>
    <w:rsid w:val="005D7BAD"/>
    <w:rsid w:val="005F4A74"/>
    <w:rsid w:val="00607DF1"/>
    <w:rsid w:val="006136F3"/>
    <w:rsid w:val="00630A6B"/>
    <w:rsid w:val="00642A99"/>
    <w:rsid w:val="0064650E"/>
    <w:rsid w:val="00657987"/>
    <w:rsid w:val="0066255B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6094A"/>
    <w:rsid w:val="00860C81"/>
    <w:rsid w:val="00867BBA"/>
    <w:rsid w:val="00867F5E"/>
    <w:rsid w:val="00870DD3"/>
    <w:rsid w:val="00871C17"/>
    <w:rsid w:val="00873D27"/>
    <w:rsid w:val="00881BA5"/>
    <w:rsid w:val="00884252"/>
    <w:rsid w:val="00896F67"/>
    <w:rsid w:val="008A2260"/>
    <w:rsid w:val="008B73BE"/>
    <w:rsid w:val="008C6A3B"/>
    <w:rsid w:val="008D22B5"/>
    <w:rsid w:val="008D5CEF"/>
    <w:rsid w:val="008E0EB8"/>
    <w:rsid w:val="008E660C"/>
    <w:rsid w:val="008F7408"/>
    <w:rsid w:val="009041B1"/>
    <w:rsid w:val="00905B7D"/>
    <w:rsid w:val="00910061"/>
    <w:rsid w:val="009113E2"/>
    <w:rsid w:val="00920C69"/>
    <w:rsid w:val="00930CD5"/>
    <w:rsid w:val="009331AA"/>
    <w:rsid w:val="00943441"/>
    <w:rsid w:val="00947261"/>
    <w:rsid w:val="009632E3"/>
    <w:rsid w:val="00975049"/>
    <w:rsid w:val="00981311"/>
    <w:rsid w:val="00985263"/>
    <w:rsid w:val="0098736E"/>
    <w:rsid w:val="0099673E"/>
    <w:rsid w:val="00996F26"/>
    <w:rsid w:val="009A2AAC"/>
    <w:rsid w:val="009A64B9"/>
    <w:rsid w:val="009B4C07"/>
    <w:rsid w:val="009B70A2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D1CD6"/>
    <w:rsid w:val="00AE0124"/>
    <w:rsid w:val="00AF798B"/>
    <w:rsid w:val="00B13265"/>
    <w:rsid w:val="00B32D0B"/>
    <w:rsid w:val="00B33D0A"/>
    <w:rsid w:val="00B37E87"/>
    <w:rsid w:val="00B42851"/>
    <w:rsid w:val="00B558DE"/>
    <w:rsid w:val="00B945BE"/>
    <w:rsid w:val="00BA1C7A"/>
    <w:rsid w:val="00BD0C12"/>
    <w:rsid w:val="00BD62F1"/>
    <w:rsid w:val="00BE02E9"/>
    <w:rsid w:val="00BE6E98"/>
    <w:rsid w:val="00BF0302"/>
    <w:rsid w:val="00BF5A2F"/>
    <w:rsid w:val="00C0152B"/>
    <w:rsid w:val="00C02AE1"/>
    <w:rsid w:val="00C07074"/>
    <w:rsid w:val="00C37FB1"/>
    <w:rsid w:val="00C403F1"/>
    <w:rsid w:val="00C43823"/>
    <w:rsid w:val="00C473E5"/>
    <w:rsid w:val="00C47C26"/>
    <w:rsid w:val="00C71DCF"/>
    <w:rsid w:val="00C769A1"/>
    <w:rsid w:val="00C76D50"/>
    <w:rsid w:val="00C84175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3F40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D146A"/>
    <w:rsid w:val="00DD7183"/>
    <w:rsid w:val="00DE7409"/>
    <w:rsid w:val="00DF189B"/>
    <w:rsid w:val="00DF6B0E"/>
    <w:rsid w:val="00DF7637"/>
    <w:rsid w:val="00E15715"/>
    <w:rsid w:val="00E16B08"/>
    <w:rsid w:val="00E21E56"/>
    <w:rsid w:val="00E25A01"/>
    <w:rsid w:val="00E2715E"/>
    <w:rsid w:val="00E51DAD"/>
    <w:rsid w:val="00E65B65"/>
    <w:rsid w:val="00EB6A7A"/>
    <w:rsid w:val="00EC7194"/>
    <w:rsid w:val="00EF6020"/>
    <w:rsid w:val="00F1268C"/>
    <w:rsid w:val="00F23D63"/>
    <w:rsid w:val="00F33B36"/>
    <w:rsid w:val="00F402A3"/>
    <w:rsid w:val="00F735B2"/>
    <w:rsid w:val="00F80E5C"/>
    <w:rsid w:val="00F81F13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ayour Performance Report based on DSS FAM Feedback</vt:lpstr>
    </vt:vector>
  </TitlesOfParts>
  <Company>Department of Immigration and Border Protection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IAHP PHC Performance Report based on DSS FAM Feedback</dc:title>
  <dc:creator>Joel Dennerley</dc:creator>
  <cp:lastModifiedBy>DUNN, Stuart</cp:lastModifiedBy>
  <cp:revision>12</cp:revision>
  <cp:lastPrinted>2018-06-29T03:34:00Z</cp:lastPrinted>
  <dcterms:created xsi:type="dcterms:W3CDTF">2022-09-05T22:34:00Z</dcterms:created>
  <dcterms:modified xsi:type="dcterms:W3CDTF">2024-04-09T01:03:00Z</dcterms:modified>
</cp:coreProperties>
</file>