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A5F0" w14:textId="77777777" w:rsidR="00B53639" w:rsidRPr="009472E8" w:rsidRDefault="00B53639" w:rsidP="00B53639">
      <w:pPr>
        <w:pStyle w:val="QRGHeading"/>
      </w:pPr>
      <w:r>
        <w:t>Download the Spreadsheet</w:t>
      </w:r>
    </w:p>
    <w:p w14:paraId="2D689A8A" w14:textId="0637C304" w:rsidR="008C6692" w:rsidRDefault="008C6692" w:rsidP="00056198">
      <w:pPr>
        <w:pStyle w:val="QRGText"/>
      </w:pPr>
      <w:r>
        <w:t xml:space="preserve">To </w:t>
      </w:r>
      <w:r w:rsidR="00B7021D">
        <w:t>download a Workforce Profile spreadsheet containing your Workforce Profile FTE data for a previous collection period,</w:t>
      </w:r>
      <w:r>
        <w:t xml:space="preserve"> </w:t>
      </w:r>
      <w:r w:rsidR="00B7021D">
        <w:t>from a historical</w:t>
      </w:r>
      <w:r w:rsidR="00AC1F48">
        <w:t xml:space="preserve"> </w:t>
      </w:r>
      <w:r w:rsidR="00DE4007">
        <w:t xml:space="preserve">OSR </w:t>
      </w:r>
      <w:r w:rsidR="00D84F5C">
        <w:t>submission</w:t>
      </w:r>
      <w:r w:rsidR="00216333">
        <w:t xml:space="preserve"> in the Health Data Portal</w:t>
      </w:r>
      <w:r w:rsidR="00890BCF">
        <w:t>, prior to a reporting round opening</w:t>
      </w:r>
      <w:r>
        <w:t>:</w:t>
      </w:r>
    </w:p>
    <w:p w14:paraId="20FD7C5F" w14:textId="77777777" w:rsidR="00816EB0" w:rsidRDefault="00816EB0" w:rsidP="00454AC5">
      <w:pPr>
        <w:pStyle w:val="QRGNumbering1"/>
      </w:pPr>
      <w:r>
        <w:t>Open the Health Data Portal</w:t>
      </w:r>
      <w:r w:rsidR="00216333">
        <w:t xml:space="preserve"> through </w:t>
      </w:r>
      <w:hyperlink r:id="rId7" w:history="1">
        <w:r w:rsidR="00341C5B">
          <w:rPr>
            <w:rStyle w:val="Hyperlink"/>
          </w:rPr>
          <w:t>Health Data Portal</w:t>
        </w:r>
      </w:hyperlink>
      <w:r>
        <w:t>.</w:t>
      </w:r>
    </w:p>
    <w:p w14:paraId="379912FE" w14:textId="07C68263" w:rsidR="00DA534D" w:rsidRDefault="00DA534D" w:rsidP="00DA534D">
      <w:pPr>
        <w:pStyle w:val="QRGNumbering1"/>
      </w:pPr>
      <w:r>
        <w:t xml:space="preserve">Log in using the information provided in the </w:t>
      </w:r>
      <w:r w:rsidR="00EA5EC6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67A62E2" w14:textId="79590231" w:rsidR="00781FFA" w:rsidRDefault="00781FFA" w:rsidP="00781FFA">
      <w:pPr>
        <w:pStyle w:val="QRGText"/>
      </w:pPr>
      <w:r>
        <w:t xml:space="preserve">The Data Portal </w:t>
      </w:r>
      <w:r w:rsidR="00C35359">
        <w:t>h</w:t>
      </w:r>
      <w:r>
        <w:t xml:space="preserve">ome screen will display with the </w:t>
      </w:r>
      <w:r w:rsidRPr="002D5809">
        <w:rPr>
          <w:i/>
        </w:rPr>
        <w:t>Reporting Dashboard</w:t>
      </w:r>
      <w:r>
        <w:t xml:space="preserve"> open.</w:t>
      </w:r>
    </w:p>
    <w:p w14:paraId="1859340D" w14:textId="0035E707" w:rsidR="00AF38E4" w:rsidRPr="00AF38E4" w:rsidRDefault="00AF38E4" w:rsidP="00AF38E4">
      <w:pPr>
        <w:pStyle w:val="QRGPictureCentre"/>
      </w:pPr>
      <w:r>
        <w:drawing>
          <wp:inline distT="0" distB="0" distL="0" distR="0" wp14:anchorId="2EEC9FA2" wp14:editId="58701717">
            <wp:extent cx="3105785" cy="1423670"/>
            <wp:effectExtent l="19050" t="19050" r="18415" b="24130"/>
            <wp:docPr id="6" name="Picture 6" descr="icture of the Data Portal home screen, showing the Reporting Dashboard with the More options... button highlighted in the OSR reporting round place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ture of the Data Portal home screen, showing the Reporting Dashboard with the More options... button highlighted in the OSR reporting round place hold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2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12FDCA" w14:textId="69292DB2" w:rsidR="00636B12" w:rsidRDefault="00636B12" w:rsidP="001F5CB8">
      <w:pPr>
        <w:pStyle w:val="QRGNumbering1"/>
      </w:pPr>
      <w:r>
        <w:t xml:space="preserve">To </w:t>
      </w:r>
      <w:r w:rsidR="00B7021D">
        <w:t>download</w:t>
      </w:r>
      <w:r>
        <w:t xml:space="preserve"> the </w:t>
      </w:r>
      <w:r w:rsidR="00B7021D" w:rsidRPr="00B7021D">
        <w:rPr>
          <w:i/>
        </w:rPr>
        <w:t xml:space="preserve">Workforce Profile Spreadsheet </w:t>
      </w:r>
      <w:r w:rsidR="00D9109D">
        <w:t>from your</w:t>
      </w:r>
      <w:r w:rsidR="00B7021D">
        <w:t xml:space="preserve"> most recently </w:t>
      </w:r>
      <w:r w:rsidR="00B7021D" w:rsidRPr="00B7021D">
        <w:rPr>
          <w:i/>
        </w:rPr>
        <w:t>Processed</w:t>
      </w:r>
      <w:r w:rsidR="00B7021D">
        <w:t xml:space="preserve"> OSR </w:t>
      </w:r>
      <w:r w:rsidR="00D84F5C">
        <w:t>submission</w:t>
      </w:r>
      <w:r>
        <w:t xml:space="preserve">, hover your mouse pointer to the right of the OSR </w:t>
      </w:r>
      <w:r w:rsidR="00D84F5C">
        <w:t xml:space="preserve">reporting round </w:t>
      </w:r>
      <w:r>
        <w:t xml:space="preserve">text in the </w:t>
      </w:r>
      <w:r w:rsidR="006A24BE" w:rsidRPr="006A24BE">
        <w:rPr>
          <w:b/>
        </w:rPr>
        <w:t xml:space="preserve">Reporting </w:t>
      </w:r>
      <w:r w:rsidRPr="00636B12">
        <w:rPr>
          <w:b/>
        </w:rPr>
        <w:t>Dashboard</w:t>
      </w:r>
      <w:r w:rsidR="00E84202">
        <w:t xml:space="preserve">, </w:t>
      </w:r>
      <w:r>
        <w:t>select</w:t>
      </w:r>
      <w:r w:rsidR="00E451A1">
        <w:t xml:space="preserve"> </w:t>
      </w:r>
      <w:r w:rsidR="00B7021D">
        <w:rPr>
          <w:noProof/>
          <w:lang w:eastAsia="en-AU"/>
        </w:rPr>
        <w:drawing>
          <wp:inline distT="0" distB="0" distL="0" distR="0" wp14:anchorId="6415AC83" wp14:editId="1C0B5A4B">
            <wp:extent cx="216000" cy="216000"/>
            <wp:effectExtent l="0" t="0" r="0" b="0"/>
            <wp:docPr id="5" name="Picture 5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202">
        <w:t xml:space="preserve"> (</w:t>
      </w:r>
      <w:r w:rsidR="00E84202" w:rsidRPr="00E84202">
        <w:rPr>
          <w:i/>
        </w:rPr>
        <w:t>highlighted above</w:t>
      </w:r>
      <w:r w:rsidR="00B547F1">
        <w:rPr>
          <w:i/>
        </w:rPr>
        <w:t xml:space="preserve"> in red</w:t>
      </w:r>
      <w:r w:rsidR="00E84202">
        <w:t>)</w:t>
      </w:r>
      <w:r w:rsidR="0027254F">
        <w:t xml:space="preserve"> </w:t>
      </w:r>
      <w:r w:rsidR="00B7021D">
        <w:t xml:space="preserve">and then select </w:t>
      </w:r>
      <w:r w:rsidR="00B7021D" w:rsidRPr="00B7021D">
        <w:rPr>
          <w:b/>
        </w:rPr>
        <w:t>Download Workforce Profile</w:t>
      </w:r>
      <w:r w:rsidR="00E451A1">
        <w:t>.</w:t>
      </w:r>
    </w:p>
    <w:p w14:paraId="3A9F1988" w14:textId="77777777" w:rsidR="0045258A" w:rsidRDefault="0045258A" w:rsidP="001F5CB8">
      <w:pPr>
        <w:pStyle w:val="QRGNumbering1"/>
      </w:pPr>
      <w:r>
        <w:t>In the dialog box that displays at the bottom of the screen, select</w:t>
      </w:r>
      <w:r w:rsidR="00E84202">
        <w:t xml:space="preserve"> </w:t>
      </w:r>
      <w:r w:rsidR="00E84202">
        <w:rPr>
          <w:noProof/>
          <w:lang w:eastAsia="en-AU"/>
        </w:rPr>
        <w:drawing>
          <wp:inline distT="0" distB="0" distL="0" distR="0" wp14:anchorId="3664AC7F" wp14:editId="4F3A5F66">
            <wp:extent cx="194400" cy="180000"/>
            <wp:effectExtent l="19050" t="19050" r="15240" b="10795"/>
            <wp:docPr id="15" name="Picture 15" title="the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84202">
        <w:rPr>
          <w:noProof/>
          <w:lang w:eastAsia="en-AU"/>
        </w:rPr>
        <w:t xml:space="preserve">and </w:t>
      </w:r>
      <w:r w:rsidR="00E84202" w:rsidRPr="00E84202">
        <w:rPr>
          <w:b/>
          <w:noProof/>
          <w:lang w:eastAsia="en-AU"/>
        </w:rPr>
        <w:t>Open</w:t>
      </w:r>
      <w:r>
        <w:t xml:space="preserve"> to open the spreadsheet. </w:t>
      </w:r>
    </w:p>
    <w:p w14:paraId="04A346A9" w14:textId="77777777" w:rsidR="0045258A" w:rsidRDefault="0045258A" w:rsidP="0045258A">
      <w:pPr>
        <w:pStyle w:val="QRGText"/>
      </w:pPr>
      <w:r>
        <w:t xml:space="preserve">The Workforce Profile Spreadsheet will display. </w:t>
      </w:r>
      <w:r>
        <w:rPr>
          <w:noProof/>
          <w:lang w:eastAsia="en-AU"/>
        </w:rPr>
        <w:drawing>
          <wp:inline distT="0" distB="0" distL="0" distR="0" wp14:anchorId="0D6AAF0A" wp14:editId="66702F7B">
            <wp:extent cx="3105150" cy="1990725"/>
            <wp:effectExtent l="19050" t="19050" r="19050" b="28575"/>
            <wp:docPr id="490" name="Picture 490" descr="picture of the Workforce Profile Spreadsheet, showing the front tab of the spreadsheet, which contains instructions on how to us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DA631E" w14:textId="77777777" w:rsidR="0045258A" w:rsidRDefault="0045258A" w:rsidP="00E42CBF">
      <w:pPr>
        <w:pStyle w:val="QRGText"/>
      </w:pPr>
      <w:r>
        <w:t xml:space="preserve">The </w:t>
      </w:r>
      <w:r w:rsidR="00E42CBF" w:rsidRPr="00E42CBF">
        <w:t xml:space="preserve">tab that displays in the </w:t>
      </w:r>
      <w:r w:rsidR="00E42CBF" w:rsidRPr="00E42CBF">
        <w:rPr>
          <w:i/>
        </w:rPr>
        <w:t>Workforce Profile</w:t>
      </w:r>
      <w:r w:rsidR="00E42CBF" w:rsidRPr="00E42CBF">
        <w:t xml:space="preserve"> spreadsheet by default is the </w:t>
      </w:r>
      <w:r w:rsidR="00E42CBF" w:rsidRPr="00E42CBF">
        <w:rPr>
          <w:b/>
        </w:rPr>
        <w:t>Instructions</w:t>
      </w:r>
      <w:r w:rsidR="00E42CBF" w:rsidRPr="00E42CBF">
        <w:t xml:space="preserve"> tab</w:t>
      </w:r>
      <w:r w:rsidR="00E42CBF">
        <w:t>. This c</w:t>
      </w:r>
      <w:r>
        <w:t>ontains inst</w:t>
      </w:r>
      <w:r w:rsidR="00E42CBF">
        <w:t xml:space="preserve">ructions on how to fill out each of the different </w:t>
      </w:r>
      <w:r>
        <w:t xml:space="preserve">tabs on the </w:t>
      </w:r>
      <w:r w:rsidRPr="0045258A">
        <w:rPr>
          <w:i/>
        </w:rPr>
        <w:t xml:space="preserve">Workforce Profile </w:t>
      </w:r>
      <w:r w:rsidRPr="0045258A">
        <w:rPr>
          <w:i/>
        </w:rPr>
        <w:t>Spreadsheet</w:t>
      </w:r>
      <w:r>
        <w:t>.</w:t>
      </w:r>
      <w:r w:rsidR="00E42CBF">
        <w:t xml:space="preserve"> The different tabs in the spreadsheet are:</w:t>
      </w:r>
    </w:p>
    <w:p w14:paraId="03191F56" w14:textId="77777777" w:rsidR="0045258A" w:rsidRPr="00E42CBF" w:rsidRDefault="0045258A" w:rsidP="0045258A">
      <w:pPr>
        <w:pStyle w:val="QRGBullet2"/>
      </w:pPr>
      <w:r w:rsidRPr="00E42CBF">
        <w:t>General and Other Staff</w:t>
      </w:r>
      <w:r w:rsidR="00E42CBF">
        <w:t>;</w:t>
      </w:r>
    </w:p>
    <w:p w14:paraId="75D3EAE0" w14:textId="77777777" w:rsidR="00705EA5" w:rsidRPr="00E42CBF" w:rsidRDefault="00705EA5" w:rsidP="0045258A">
      <w:pPr>
        <w:pStyle w:val="QRGBullet2"/>
      </w:pPr>
      <w:r w:rsidRPr="00E42CBF">
        <w:t>Health P</w:t>
      </w:r>
      <w:r w:rsidR="00E42CBF">
        <w:t>rofessionals;</w:t>
      </w:r>
    </w:p>
    <w:p w14:paraId="5DE67BE7" w14:textId="77777777" w:rsidR="00705EA5" w:rsidRPr="00E42CBF" w:rsidRDefault="00705EA5" w:rsidP="0045258A">
      <w:pPr>
        <w:pStyle w:val="QRGBullet2"/>
      </w:pPr>
      <w:r w:rsidRPr="00E42CBF">
        <w:t>Medical Specialist</w:t>
      </w:r>
      <w:r w:rsidR="00E42CBF">
        <w:t>;</w:t>
      </w:r>
      <w:r w:rsidRPr="00E42CBF">
        <w:t xml:space="preserve"> </w:t>
      </w:r>
    </w:p>
    <w:p w14:paraId="6E2C264E" w14:textId="77777777" w:rsidR="00705EA5" w:rsidRPr="00E42CBF" w:rsidRDefault="00705EA5" w:rsidP="0045258A">
      <w:pPr>
        <w:pStyle w:val="QRGBullet2"/>
      </w:pPr>
      <w:r w:rsidRPr="00E42CBF">
        <w:t>SEWB</w:t>
      </w:r>
      <w:r w:rsidR="00E42CBF">
        <w:t>;</w:t>
      </w:r>
      <w:r w:rsidRPr="00E42CBF">
        <w:t xml:space="preserve"> </w:t>
      </w:r>
    </w:p>
    <w:p w14:paraId="2EC672ED" w14:textId="77777777" w:rsidR="00705EA5" w:rsidRPr="00E42CBF" w:rsidRDefault="00705EA5" w:rsidP="0045258A">
      <w:pPr>
        <w:pStyle w:val="QRGBullet2"/>
      </w:pPr>
      <w:r w:rsidRPr="00E42CBF">
        <w:t>Allied Health Professionals</w:t>
      </w:r>
      <w:r w:rsidR="00E42CBF">
        <w:t>;</w:t>
      </w:r>
      <w:r w:rsidRPr="00E42CBF">
        <w:t xml:space="preserve"> </w:t>
      </w:r>
    </w:p>
    <w:p w14:paraId="0E33B9DB" w14:textId="77777777" w:rsidR="00705EA5" w:rsidRPr="00E42CBF" w:rsidRDefault="00705EA5" w:rsidP="0045258A">
      <w:pPr>
        <w:pStyle w:val="QRGBullet2"/>
      </w:pPr>
      <w:r w:rsidRPr="00E42CBF">
        <w:t>Health Promotion and Prevention</w:t>
      </w:r>
      <w:r w:rsidR="00E42CBF">
        <w:t>;</w:t>
      </w:r>
      <w:r w:rsidRPr="00E42CBF">
        <w:t xml:space="preserve"> </w:t>
      </w:r>
    </w:p>
    <w:p w14:paraId="716DAC2B" w14:textId="77777777" w:rsidR="00705EA5" w:rsidRPr="00E42CBF" w:rsidRDefault="00705EA5" w:rsidP="0045258A">
      <w:pPr>
        <w:pStyle w:val="QRGBullet2"/>
      </w:pPr>
      <w:r w:rsidRPr="00E42CBF">
        <w:t>Training and Trainee</w:t>
      </w:r>
      <w:r w:rsidR="00E42CBF">
        <w:t>, and</w:t>
      </w:r>
    </w:p>
    <w:p w14:paraId="1772F4DF" w14:textId="77777777" w:rsidR="00705EA5" w:rsidRPr="00E42CBF" w:rsidRDefault="00705EA5" w:rsidP="0045258A">
      <w:pPr>
        <w:pStyle w:val="QRGBullet2"/>
      </w:pPr>
      <w:r w:rsidRPr="00E42CBF">
        <w:t>Other</w:t>
      </w:r>
      <w:r w:rsidR="00E42CBF">
        <w:t>.</w:t>
      </w:r>
    </w:p>
    <w:p w14:paraId="3028BD3E" w14:textId="3CF9D8D7" w:rsidR="00FA6DF6" w:rsidRDefault="00E42CBF" w:rsidP="00E42CBF">
      <w:pPr>
        <w:pStyle w:val="QRGText"/>
      </w:pPr>
      <w:r>
        <w:t xml:space="preserve">Each of these tabs contains a list of your </w:t>
      </w:r>
      <w:r w:rsidR="009E09AB">
        <w:t>h</w:t>
      </w:r>
      <w:r>
        <w:t xml:space="preserve">ealth </w:t>
      </w:r>
      <w:r w:rsidR="009E09AB">
        <w:t>s</w:t>
      </w:r>
      <w:r>
        <w:t xml:space="preserve">ervice’s positions for the applicable category, along with the paid and unpaid FTE values for each from your processed OSR </w:t>
      </w:r>
      <w:r w:rsidR="00D84F5C">
        <w:t>submission</w:t>
      </w:r>
      <w:r>
        <w:t xml:space="preserve"> from the most recent collection period. It also contains a section where the current FTE values for each position can be entered by the relevant staff members.</w:t>
      </w:r>
    </w:p>
    <w:p w14:paraId="25F0D023" w14:textId="748E11D8" w:rsidR="0045258A" w:rsidRDefault="00E84202" w:rsidP="00E42CBF">
      <w:pPr>
        <w:pStyle w:val="QRGNumbering1"/>
      </w:pPr>
      <w:r>
        <w:t>Now s</w:t>
      </w:r>
      <w:r w:rsidR="00E42CBF">
        <w:t xml:space="preserve">hare the spreadsheet </w:t>
      </w:r>
      <w:r>
        <w:t xml:space="preserve">(either in hard copy or by emailing it) </w:t>
      </w:r>
      <w:r w:rsidR="00E42CBF">
        <w:t xml:space="preserve">with the applicable staff members within your </w:t>
      </w:r>
      <w:r w:rsidR="009E09AB">
        <w:t>h</w:t>
      </w:r>
      <w:r w:rsidR="00E42CBF">
        <w:t xml:space="preserve">ealth </w:t>
      </w:r>
      <w:r w:rsidR="009E09AB">
        <w:t>s</w:t>
      </w:r>
      <w:r w:rsidR="00E42CBF">
        <w:t xml:space="preserve">ervice who are going to contribute to confirming the FTE values for the different positions within your </w:t>
      </w:r>
      <w:r w:rsidR="009E09AB">
        <w:t>h</w:t>
      </w:r>
      <w:r w:rsidR="00E42CBF">
        <w:t xml:space="preserve">ealth </w:t>
      </w:r>
      <w:r w:rsidR="009E09AB">
        <w:t>s</w:t>
      </w:r>
      <w:r w:rsidR="00E42CBF">
        <w:t>ervice for the current collection period.</w:t>
      </w:r>
    </w:p>
    <w:p w14:paraId="226D95AD" w14:textId="76F9D3EA" w:rsidR="00E42CBF" w:rsidRDefault="00E42CBF" w:rsidP="00E42CBF">
      <w:pPr>
        <w:pStyle w:val="QRGNumbering1"/>
      </w:pPr>
      <w:r>
        <w:t xml:space="preserve">Once each of these staff members have entered the applicable FTE values into the </w:t>
      </w:r>
      <w:r w:rsidRPr="00E42CBF">
        <w:rPr>
          <w:b/>
        </w:rPr>
        <w:t>New</w:t>
      </w:r>
      <w:r>
        <w:t xml:space="preserve"> table in each tab of the spreadsheet </w:t>
      </w:r>
      <w:r w:rsidR="001A47FC">
        <w:t xml:space="preserve">(using the values in the previous collection period table as needed) </w:t>
      </w:r>
      <w:r>
        <w:t>and returned the spreadsheet to you</w:t>
      </w:r>
      <w:r w:rsidR="00FA3411">
        <w:t xml:space="preserve">, </w:t>
      </w:r>
      <w:r w:rsidR="001A47FC">
        <w:t xml:space="preserve">compile the values entered by the different contributors into </w:t>
      </w:r>
      <w:r w:rsidR="00FA3411">
        <w:t xml:space="preserve">a master version of the spreadsheet </w:t>
      </w:r>
      <w:r w:rsidR="001A47FC">
        <w:t>as required</w:t>
      </w:r>
      <w:r w:rsidR="005C6125">
        <w:t>, in preparation for entering the information into your</w:t>
      </w:r>
      <w:r w:rsidR="002625F8">
        <w:t xml:space="preserve"> new</w:t>
      </w:r>
      <w:r w:rsidR="005C6125">
        <w:t xml:space="preserve"> OSR </w:t>
      </w:r>
      <w:r w:rsidR="00D84F5C">
        <w:t>submission</w:t>
      </w:r>
      <w:r w:rsidR="005C6125">
        <w:t xml:space="preserve"> in the upcoming OSR reporting round</w:t>
      </w:r>
      <w:r w:rsidR="001A47FC">
        <w:t>.</w:t>
      </w:r>
    </w:p>
    <w:p w14:paraId="6113C1D9" w14:textId="5BF07818" w:rsidR="00611683" w:rsidRDefault="001A47FC" w:rsidP="005C6125">
      <w:pPr>
        <w:pStyle w:val="QRGText"/>
      </w:pPr>
      <w:r>
        <w:t xml:space="preserve">You </w:t>
      </w:r>
      <w:r w:rsidR="00FA3411">
        <w:t>are now ready to</w:t>
      </w:r>
      <w:r>
        <w:t xml:space="preserve"> </w:t>
      </w:r>
      <w:r w:rsidR="00B53639">
        <w:t>upload the completed workforce profile spreadsheet</w:t>
      </w:r>
      <w:r w:rsidR="00611683">
        <w:t xml:space="preserve"> </w:t>
      </w:r>
      <w:r w:rsidR="002625F8">
        <w:t>into</w:t>
      </w:r>
      <w:r>
        <w:t xml:space="preserve"> the </w:t>
      </w:r>
      <w:r w:rsidRPr="002625F8">
        <w:rPr>
          <w:i/>
        </w:rPr>
        <w:t>Paid FTE Positions</w:t>
      </w:r>
      <w:r>
        <w:t xml:space="preserve"> </w:t>
      </w:r>
      <w:r w:rsidR="00611683">
        <w:t>and/</w:t>
      </w:r>
      <w:r>
        <w:t>or</w:t>
      </w:r>
      <w:r w:rsidR="00C35359">
        <w:t xml:space="preserve"> </w:t>
      </w:r>
      <w:r w:rsidRPr="002625F8">
        <w:rPr>
          <w:i/>
        </w:rPr>
        <w:t>Unpaid FTE Positions</w:t>
      </w:r>
      <w:r>
        <w:t xml:space="preserve"> section</w:t>
      </w:r>
      <w:r w:rsidR="002625F8">
        <w:t>s</w:t>
      </w:r>
      <w:r>
        <w:t xml:space="preserve"> of the </w:t>
      </w:r>
      <w:r w:rsidR="002625F8">
        <w:t xml:space="preserve">OSR </w:t>
      </w:r>
      <w:r>
        <w:t>form</w:t>
      </w:r>
      <w:r w:rsidR="002625F8">
        <w:t xml:space="preserve"> once the next reporting round opens</w:t>
      </w:r>
      <w:r>
        <w:t>.</w:t>
      </w:r>
    </w:p>
    <w:p w14:paraId="4E007DEB" w14:textId="77777777" w:rsidR="00611683" w:rsidRDefault="00611683" w:rsidP="00611683">
      <w:pPr>
        <w:rPr>
          <w:sz w:val="22"/>
        </w:rPr>
      </w:pPr>
      <w:r>
        <w:br w:type="page"/>
      </w:r>
    </w:p>
    <w:p w14:paraId="03EB8348" w14:textId="77777777" w:rsidR="00611683" w:rsidRPr="009472E8" w:rsidRDefault="00611683" w:rsidP="00611683">
      <w:pPr>
        <w:pStyle w:val="QRGHeading"/>
      </w:pPr>
      <w:r>
        <w:lastRenderedPageBreak/>
        <w:t>Upload the Spreadsheet</w:t>
      </w:r>
    </w:p>
    <w:p w14:paraId="7D180BA3" w14:textId="7BEB1DB4" w:rsidR="001A47FC" w:rsidRDefault="00611683" w:rsidP="00611683">
      <w:pPr>
        <w:pStyle w:val="QRGText"/>
      </w:pPr>
      <w:r>
        <w:t xml:space="preserve">To upload the completed Workforce Profile spreadsheet to your OSR </w:t>
      </w:r>
      <w:r w:rsidR="00D84F5C">
        <w:t>submission</w:t>
      </w:r>
      <w:r>
        <w:t xml:space="preserve"> for the current reporting round</w:t>
      </w:r>
      <w:r w:rsidR="00890BCF">
        <w:t>, once the reporting round has opened</w:t>
      </w:r>
      <w:r>
        <w:t>:</w:t>
      </w:r>
    </w:p>
    <w:p w14:paraId="1E836C0B" w14:textId="77777777" w:rsidR="00611683" w:rsidRDefault="00611683" w:rsidP="00611683">
      <w:pPr>
        <w:pStyle w:val="QRGNumbering1"/>
        <w:numPr>
          <w:ilvl w:val="0"/>
          <w:numId w:val="6"/>
        </w:numPr>
      </w:pPr>
      <w:r>
        <w:t xml:space="preserve">Open the Health Data Portal through </w:t>
      </w:r>
      <w:hyperlink r:id="rId12" w:history="1">
        <w:r>
          <w:rPr>
            <w:rStyle w:val="Hyperlink"/>
          </w:rPr>
          <w:t>Health Data Portal</w:t>
        </w:r>
      </w:hyperlink>
      <w:r>
        <w:t>.</w:t>
      </w:r>
    </w:p>
    <w:p w14:paraId="32D4B757" w14:textId="77777777" w:rsidR="00611683" w:rsidRDefault="00611683" w:rsidP="00611683">
      <w:pPr>
        <w:pStyle w:val="QRGNumbering1"/>
      </w:pPr>
      <w:r>
        <w:t xml:space="preserve">Log in using the information provided in the </w:t>
      </w:r>
      <w:r>
        <w:rPr>
          <w:i/>
        </w:rPr>
        <w:t>Registering for and Logging in to the Health Data Portal</w:t>
      </w:r>
      <w:r>
        <w:t xml:space="preserve"> QRG.</w:t>
      </w:r>
    </w:p>
    <w:p w14:paraId="258A5A2D" w14:textId="7E420BC9" w:rsidR="00611683" w:rsidRDefault="00611683" w:rsidP="00611683">
      <w:pPr>
        <w:pStyle w:val="QRGText"/>
      </w:pPr>
      <w:r>
        <w:t xml:space="preserve">The Data Portal </w:t>
      </w:r>
      <w:r w:rsidR="00C35359">
        <w:t>h</w:t>
      </w:r>
      <w:r>
        <w:t xml:space="preserve">ome screen will display with the </w:t>
      </w:r>
      <w:r w:rsidRPr="002D5809">
        <w:rPr>
          <w:i/>
        </w:rPr>
        <w:t>Reporting Dashboard</w:t>
      </w:r>
      <w:r>
        <w:t xml:space="preserve"> open.</w:t>
      </w:r>
    </w:p>
    <w:p w14:paraId="5B7F958A" w14:textId="27CD19A2" w:rsidR="00AF38E4" w:rsidRPr="00F91806" w:rsidRDefault="00AF38E4" w:rsidP="00F9180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25D2A61" wp14:editId="6016D181">
            <wp:extent cx="3105785" cy="1788795"/>
            <wp:effectExtent l="19050" t="19050" r="18415" b="20955"/>
            <wp:docPr id="14" name="Picture 14" descr="picture of the Data Portal home screen, showing the Reporting Dashboard with the Open Submission Form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Data Portal home screen, showing the Reporting Dashboard with the Open Submission Form button highligh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88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934A9E" w14:textId="702D89E7" w:rsidR="00611683" w:rsidRDefault="00611683" w:rsidP="00611683">
      <w:pPr>
        <w:pStyle w:val="QRGNumbering1"/>
      </w:pPr>
      <w:r>
        <w:t xml:space="preserve">To open the OSR form attached to the </w:t>
      </w:r>
      <w:r w:rsidR="00D84F5C">
        <w:t>submission</w:t>
      </w:r>
      <w:r>
        <w:t xml:space="preserve">, hover your mouse pointer to the right of the OSR </w:t>
      </w:r>
      <w:r w:rsidR="00D84F5C">
        <w:t>reporting round</w:t>
      </w:r>
      <w:r>
        <w:t xml:space="preserve"> text in the </w:t>
      </w:r>
      <w:r w:rsidRPr="00611683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4CEB84AC" wp14:editId="7A93A5DE">
            <wp:extent cx="219600" cy="216000"/>
            <wp:effectExtent l="0" t="0" r="9525" b="0"/>
            <wp:docPr id="10" name="Picture 10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D2">
        <w:t>.</w:t>
      </w:r>
    </w:p>
    <w:p w14:paraId="1FA24845" w14:textId="77777777" w:rsidR="00611683" w:rsidRDefault="00611683" w:rsidP="00611683">
      <w:pPr>
        <w:pStyle w:val="QRGText"/>
      </w:pPr>
      <w:r>
        <w:t xml:space="preserve">The OSR Form will display. </w:t>
      </w:r>
    </w:p>
    <w:p w14:paraId="2B3D6666" w14:textId="08862D0C" w:rsidR="004B1EA3" w:rsidRPr="00F91806" w:rsidRDefault="004B1EA3" w:rsidP="00F9180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F175888" wp14:editId="2F027A26">
            <wp:extent cx="3105150" cy="1800225"/>
            <wp:effectExtent l="19050" t="19050" r="19050" b="28575"/>
            <wp:docPr id="1" name="Picture 1" descr="picture of the OSR Form, showing the details of the Organisation Profile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OSR Form, showing the details of the Organisation Profile sec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836E0" w14:textId="77777777" w:rsidR="00611683" w:rsidRDefault="00611683" w:rsidP="00611683">
      <w:pPr>
        <w:pStyle w:val="QRGNumbering1"/>
      </w:pPr>
      <w:r>
        <w:t xml:space="preserve">To upload the Workforce Profile spreadsheet containing the required FTE values, select </w:t>
      </w:r>
      <w:r>
        <w:rPr>
          <w:noProof/>
          <w:lang w:eastAsia="en-AU"/>
        </w:rPr>
        <w:drawing>
          <wp:inline distT="0" distB="0" distL="0" distR="0" wp14:anchorId="61453BFC" wp14:editId="381B0F29">
            <wp:extent cx="190800" cy="180000"/>
            <wp:effectExtent l="19050" t="19050" r="19050" b="10795"/>
            <wp:docPr id="2" name="Picture 2" title="Option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90BCF">
        <w:t xml:space="preserve">in the top right-hand corner of the form </w:t>
      </w:r>
      <w:r>
        <w:t xml:space="preserve">and then select </w:t>
      </w:r>
      <w:r w:rsidRPr="00611683">
        <w:rPr>
          <w:b/>
        </w:rPr>
        <w:t>Upload Workforce Profile</w:t>
      </w:r>
      <w:r>
        <w:t>.</w:t>
      </w:r>
    </w:p>
    <w:p w14:paraId="44AE1893" w14:textId="370EB3F3" w:rsidR="00E548D1" w:rsidRDefault="00E548D1" w:rsidP="00E548D1">
      <w:pPr>
        <w:pStyle w:val="QRGText"/>
      </w:pPr>
      <w:r>
        <w:rPr>
          <w:noProof/>
          <w:lang w:eastAsia="en-AU"/>
        </w:rPr>
        <w:drawing>
          <wp:inline distT="0" distB="0" distL="0" distR="0" wp14:anchorId="01215EDB" wp14:editId="6D89F206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This option won’t be available if the </w:t>
      </w:r>
      <w:r w:rsidR="00D84F5C">
        <w:t xml:space="preserve">submission </w:t>
      </w:r>
      <w:r>
        <w:t xml:space="preserve">has previously been </w:t>
      </w:r>
      <w:r w:rsidR="00D84F5C">
        <w:t>sent</w:t>
      </w:r>
      <w:r>
        <w:t xml:space="preserve"> to the AIHW for processing.</w:t>
      </w:r>
    </w:p>
    <w:p w14:paraId="65F19A23" w14:textId="77777777" w:rsidR="008641A8" w:rsidRDefault="008641A8" w:rsidP="00611683">
      <w:pPr>
        <w:pStyle w:val="QRGNumbering1"/>
      </w:pPr>
      <w:r>
        <w:t xml:space="preserve">In the window that displays, select </w:t>
      </w:r>
      <w:r>
        <w:rPr>
          <w:noProof/>
          <w:lang w:eastAsia="en-AU"/>
        </w:rPr>
        <w:drawing>
          <wp:inline distT="0" distB="0" distL="0" distR="0" wp14:anchorId="64026909" wp14:editId="4B846CCA">
            <wp:extent cx="615600" cy="180000"/>
            <wp:effectExtent l="19050" t="19050" r="13335" b="10795"/>
            <wp:docPr id="7" name="Picture 7" title="Conti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0B32FA6" w14:textId="77777777" w:rsidR="008641A8" w:rsidRDefault="008641A8" w:rsidP="00611683">
      <w:pPr>
        <w:pStyle w:val="QRGNumbering1"/>
      </w:pPr>
      <w:r>
        <w:t xml:space="preserve">Now select </w:t>
      </w:r>
      <w:r>
        <w:rPr>
          <w:noProof/>
          <w:lang w:eastAsia="en-AU"/>
        </w:rPr>
        <w:drawing>
          <wp:inline distT="0" distB="0" distL="0" distR="0" wp14:anchorId="324E5827" wp14:editId="029890AF">
            <wp:extent cx="864000" cy="180000"/>
            <wp:effectExtent l="19050" t="19050" r="12700" b="10795"/>
            <wp:docPr id="8" name="Picture 8" title="Choose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5379B3D" w14:textId="711A6115" w:rsidR="008641A8" w:rsidRDefault="008641A8" w:rsidP="00611683">
      <w:pPr>
        <w:pStyle w:val="QRGNumbering1"/>
      </w:pPr>
      <w:r>
        <w:t>In the Open dialog box, navigate to where the spreadsheet is located, select it</w:t>
      </w:r>
      <w:r w:rsidR="00915F6E">
        <w:t>,</w:t>
      </w:r>
      <w:r>
        <w:t xml:space="preserve"> and then select </w:t>
      </w:r>
      <w:r>
        <w:rPr>
          <w:noProof/>
          <w:lang w:eastAsia="en-AU"/>
        </w:rPr>
        <w:drawing>
          <wp:inline distT="0" distB="0" distL="0" distR="0" wp14:anchorId="31F34C1D" wp14:editId="5DBBB367">
            <wp:extent cx="644400" cy="180000"/>
            <wp:effectExtent l="19050" t="19050" r="22860" b="10795"/>
            <wp:docPr id="9" name="Picture 9" title="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714B6C3E" w14:textId="77777777" w:rsidR="008641A8" w:rsidRDefault="008641A8" w:rsidP="008641A8">
      <w:pPr>
        <w:pStyle w:val="QRGText"/>
      </w:pPr>
      <w:r>
        <w:t>Once you have done this, a message will display asking you to wait while your spreadsheet is processed. This may take some time.</w:t>
      </w:r>
    </w:p>
    <w:p w14:paraId="75848047" w14:textId="77777777" w:rsidR="00A4780E" w:rsidRDefault="00A4780E" w:rsidP="008641A8">
      <w:pPr>
        <w:pStyle w:val="QRGText"/>
      </w:pPr>
      <w:r>
        <w:rPr>
          <w:noProof/>
          <w:lang w:eastAsia="en-AU"/>
        </w:rPr>
        <w:drawing>
          <wp:inline distT="0" distB="0" distL="0" distR="0" wp14:anchorId="04DE501C" wp14:editId="4A1A49B1">
            <wp:extent cx="252000" cy="252000"/>
            <wp:effectExtent l="0" t="0" r="0" b="0"/>
            <wp:docPr id="13" name="Picture 1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selected spreadsheet is not in the correct format, you will receive an error message.</w:t>
      </w:r>
    </w:p>
    <w:p w14:paraId="773A2A70" w14:textId="77777777" w:rsidR="008641A8" w:rsidRDefault="008641A8" w:rsidP="008641A8">
      <w:pPr>
        <w:pStyle w:val="QRGNumbering1"/>
      </w:pPr>
      <w:r>
        <w:t xml:space="preserve">Once your spreadsheet has been successfully </w:t>
      </w:r>
      <w:r w:rsidR="00BC19DA">
        <w:t>uploaded</w:t>
      </w:r>
      <w:r>
        <w:t xml:space="preserve">, </w:t>
      </w:r>
      <w:r w:rsidR="00890BCF">
        <w:t xml:space="preserve">in the window that displays, </w:t>
      </w:r>
      <w:r>
        <w:t xml:space="preserve">select </w:t>
      </w:r>
      <w:r w:rsidR="00BC19DA">
        <w:rPr>
          <w:noProof/>
          <w:lang w:eastAsia="en-AU"/>
        </w:rPr>
        <w:drawing>
          <wp:inline distT="0" distB="0" distL="0" distR="0" wp14:anchorId="185376EA" wp14:editId="5505BC7C">
            <wp:extent cx="460800" cy="180000"/>
            <wp:effectExtent l="19050" t="19050" r="15875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C19DA">
        <w:t>.</w:t>
      </w:r>
    </w:p>
    <w:p w14:paraId="0D7AF444" w14:textId="77777777" w:rsidR="00BC19DA" w:rsidRDefault="00BC19DA" w:rsidP="008641A8">
      <w:pPr>
        <w:pStyle w:val="QRGNumbering1"/>
      </w:pPr>
      <w:r>
        <w:t>Select the applicable FTE tab in your OSR form now and review the values to ensure they have upload correctly.</w:t>
      </w:r>
    </w:p>
    <w:p w14:paraId="40F985A2" w14:textId="77777777" w:rsidR="00BC19DA" w:rsidRDefault="00BC19DA" w:rsidP="008641A8">
      <w:pPr>
        <w:pStyle w:val="QRGNumbering1"/>
      </w:pPr>
      <w:r>
        <w:t xml:space="preserve">Make any changes to the values as needed and then </w:t>
      </w:r>
      <w:r w:rsidRPr="00BC19DA">
        <w:rPr>
          <w:b/>
        </w:rPr>
        <w:t>Save</w:t>
      </w:r>
      <w:r>
        <w:t xml:space="preserve"> and </w:t>
      </w:r>
      <w:r w:rsidRPr="00BC19DA">
        <w:rPr>
          <w:b/>
        </w:rPr>
        <w:t>Close</w:t>
      </w:r>
      <w:r>
        <w:t xml:space="preserve"> the form as normal.</w:t>
      </w:r>
    </w:p>
    <w:p w14:paraId="3F8862C8" w14:textId="77777777" w:rsidR="00611683" w:rsidRPr="008641A8" w:rsidRDefault="00611683" w:rsidP="008641A8">
      <w:pPr>
        <w:pStyle w:val="QRGPictureCentre"/>
      </w:pPr>
    </w:p>
    <w:p w14:paraId="6E425EB5" w14:textId="77777777" w:rsidR="00611683" w:rsidRDefault="00611683" w:rsidP="00611683">
      <w:pPr>
        <w:pStyle w:val="QRGText"/>
      </w:pPr>
    </w:p>
    <w:sectPr w:rsidR="00611683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D7C3" w14:textId="77777777" w:rsidR="00906051" w:rsidRDefault="00906051" w:rsidP="00AF798B">
      <w:pPr>
        <w:spacing w:before="0" w:after="0"/>
      </w:pPr>
      <w:r>
        <w:separator/>
      </w:r>
    </w:p>
    <w:p w14:paraId="62EC498D" w14:textId="77777777" w:rsidR="00906051" w:rsidRDefault="00906051"/>
  </w:endnote>
  <w:endnote w:type="continuationSeparator" w:id="0">
    <w:p w14:paraId="18249FB1" w14:textId="77777777" w:rsidR="00906051" w:rsidRDefault="00906051" w:rsidP="00AF798B">
      <w:pPr>
        <w:spacing w:before="0" w:after="0"/>
      </w:pPr>
      <w:r>
        <w:continuationSeparator/>
      </w:r>
    </w:p>
    <w:p w14:paraId="500F0551" w14:textId="77777777" w:rsidR="00906051" w:rsidRDefault="00906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EDCC94F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27254F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537B">
              <w:rPr>
                <w:noProof/>
              </w:rPr>
              <w:fldChar w:fldCharType="begin"/>
            </w:r>
            <w:r w:rsidR="007E537B">
              <w:rPr>
                <w:noProof/>
              </w:rPr>
              <w:instrText xml:space="preserve"> NUMPAGES  </w:instrText>
            </w:r>
            <w:r w:rsidR="007E537B">
              <w:rPr>
                <w:noProof/>
              </w:rPr>
              <w:fldChar w:fldCharType="separate"/>
            </w:r>
            <w:r w:rsidR="0027254F">
              <w:rPr>
                <w:noProof/>
              </w:rPr>
              <w:t>2</w:t>
            </w:r>
            <w:r w:rsidR="007E537B">
              <w:rPr>
                <w:noProof/>
              </w:rPr>
              <w:fldChar w:fldCharType="end"/>
            </w:r>
          </w:p>
        </w:sdtContent>
      </w:sdt>
    </w:sdtContent>
  </w:sdt>
  <w:p w14:paraId="6723A3D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EB69" w14:textId="77777777" w:rsidR="00906051" w:rsidRDefault="00906051" w:rsidP="00AF798B">
      <w:pPr>
        <w:spacing w:before="0" w:after="0"/>
      </w:pPr>
      <w:r>
        <w:separator/>
      </w:r>
    </w:p>
    <w:p w14:paraId="630CFF06" w14:textId="77777777" w:rsidR="00906051" w:rsidRDefault="00906051"/>
  </w:footnote>
  <w:footnote w:type="continuationSeparator" w:id="0">
    <w:p w14:paraId="18BE6016" w14:textId="77777777" w:rsidR="00906051" w:rsidRDefault="00906051" w:rsidP="00AF798B">
      <w:pPr>
        <w:spacing w:before="0" w:after="0"/>
      </w:pPr>
      <w:r>
        <w:continuationSeparator/>
      </w:r>
    </w:p>
    <w:p w14:paraId="5A78DFB1" w14:textId="77777777" w:rsidR="00906051" w:rsidRDefault="00906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220D" w14:textId="18FC4F00" w:rsidR="00AF798B" w:rsidRPr="00EB6A7A" w:rsidRDefault="00227726" w:rsidP="00BD7AD7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26F6C53" wp14:editId="1769A7BD">
          <wp:simplePos x="0" y="0"/>
          <wp:positionH relativeFrom="column">
            <wp:posOffset>-143510</wp:posOffset>
          </wp:positionH>
          <wp:positionV relativeFrom="paragraph">
            <wp:posOffset>47889</wp:posOffset>
          </wp:positionV>
          <wp:extent cx="2468880" cy="744855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B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A771" wp14:editId="7C7F7F47">
              <wp:simplePos x="0" y="0"/>
              <wp:positionH relativeFrom="column">
                <wp:posOffset>2805430</wp:posOffset>
              </wp:positionH>
              <wp:positionV relativeFrom="page">
                <wp:posOffset>203200</wp:posOffset>
              </wp:positionV>
              <wp:extent cx="4147185" cy="1403985"/>
              <wp:effectExtent l="0" t="0" r="0" b="0"/>
              <wp:wrapNone/>
              <wp:docPr id="307" name="Text Box 2" title="Submit an IHDR Data Asset (Direct Load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5FD9F" w14:textId="337B1A08" w:rsidR="0081236A" w:rsidRPr="00AC1F48" w:rsidRDefault="00B53639" w:rsidP="0081236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 with</w:t>
                          </w:r>
                          <w:r w:rsidR="00B7021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the Workforce Profile Spreadsheet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in</w:t>
                          </w:r>
                          <w:r w:rsidR="00B7021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an OSR </w:t>
                          </w:r>
                          <w:r w:rsidR="00D84F5C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Submission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7A7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Submit an IHDR Data Asset (Direct Load)" style="position:absolute;left:0;text-align:left;margin-left:220.9pt;margin-top:16pt;width:326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" filled="f" stroked="f">
              <v:textbox style="mso-fit-shape-to-text:t">
                <w:txbxContent>
                  <w:p w14:paraId="0175FD9F" w14:textId="337B1A08" w:rsidR="0081236A" w:rsidRPr="00AC1F48" w:rsidRDefault="00B53639" w:rsidP="0081236A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 with</w:t>
                    </w:r>
                    <w:r w:rsidR="00B7021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the Workforce Profile Spreadsheet 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in</w:t>
                    </w:r>
                    <w:r w:rsidR="00B7021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an OSR </w:t>
                    </w:r>
                    <w:r w:rsidR="00D84F5C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Submission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0B9F" w:rsidRPr="000628A2">
      <w:rPr>
        <w:noProof/>
        <w:lang w:eastAsia="en-AU"/>
      </w:rPr>
      <w:drawing>
        <wp:anchor distT="0" distB="0" distL="114300" distR="114300" simplePos="0" relativeHeight="251660287" behindDoc="0" locked="0" layoutInCell="1" allowOverlap="1" wp14:anchorId="4242AFD8" wp14:editId="1360BE6C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3" name="Picture 3" descr="Top banner showing the Department of Health crest and the &quot;Submit an IHDR OSR Data Asset (Direct Load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F6A6CB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2A0A2346">
      <w:start w:val="1"/>
      <w:numFmt w:val="lowerLetter"/>
      <w:pStyle w:val="QRGNumbering2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51010">
    <w:abstractNumId w:val="1"/>
  </w:num>
  <w:num w:numId="2" w16cid:durableId="1010447421">
    <w:abstractNumId w:val="0"/>
  </w:num>
  <w:num w:numId="3" w16cid:durableId="1107430317">
    <w:abstractNumId w:val="2"/>
  </w:num>
  <w:num w:numId="4" w16cid:durableId="1102915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759356">
    <w:abstractNumId w:val="0"/>
  </w:num>
  <w:num w:numId="6" w16cid:durableId="504442480">
    <w:abstractNumId w:val="0"/>
    <w:lvlOverride w:ilvl="0">
      <w:startOverride w:val="1"/>
    </w:lvlOverride>
  </w:num>
  <w:num w:numId="7" w16cid:durableId="204174905">
    <w:abstractNumId w:val="0"/>
    <w:lvlOverride w:ilvl="0">
      <w:startOverride w:val="1"/>
    </w:lvlOverride>
  </w:num>
  <w:num w:numId="8" w16cid:durableId="124999548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2B"/>
    <w:rsid w:val="00003743"/>
    <w:rsid w:val="000127D2"/>
    <w:rsid w:val="00056198"/>
    <w:rsid w:val="00062DFE"/>
    <w:rsid w:val="00063603"/>
    <w:rsid w:val="00067456"/>
    <w:rsid w:val="00085B2C"/>
    <w:rsid w:val="000C7134"/>
    <w:rsid w:val="000D21EB"/>
    <w:rsid w:val="000D2A2F"/>
    <w:rsid w:val="000E3CDD"/>
    <w:rsid w:val="000E3E12"/>
    <w:rsid w:val="000E3FF8"/>
    <w:rsid w:val="000F02BB"/>
    <w:rsid w:val="000F1596"/>
    <w:rsid w:val="000F7552"/>
    <w:rsid w:val="0010370B"/>
    <w:rsid w:val="001110D7"/>
    <w:rsid w:val="00115F82"/>
    <w:rsid w:val="00124B44"/>
    <w:rsid w:val="0013221A"/>
    <w:rsid w:val="001324F8"/>
    <w:rsid w:val="00135C0E"/>
    <w:rsid w:val="00141458"/>
    <w:rsid w:val="00147D85"/>
    <w:rsid w:val="00173212"/>
    <w:rsid w:val="00173982"/>
    <w:rsid w:val="001851AB"/>
    <w:rsid w:val="001866C6"/>
    <w:rsid w:val="00187348"/>
    <w:rsid w:val="00190E7C"/>
    <w:rsid w:val="001A47FC"/>
    <w:rsid w:val="001B3443"/>
    <w:rsid w:val="001B7A51"/>
    <w:rsid w:val="001C1EA7"/>
    <w:rsid w:val="001C3238"/>
    <w:rsid w:val="001C3FBD"/>
    <w:rsid w:val="001C55EC"/>
    <w:rsid w:val="001D5C9A"/>
    <w:rsid w:val="001E6C70"/>
    <w:rsid w:val="001F12EF"/>
    <w:rsid w:val="001F3CCB"/>
    <w:rsid w:val="001F48E2"/>
    <w:rsid w:val="001F5CB8"/>
    <w:rsid w:val="00200606"/>
    <w:rsid w:val="00216333"/>
    <w:rsid w:val="00217C85"/>
    <w:rsid w:val="00220FD5"/>
    <w:rsid w:val="00227726"/>
    <w:rsid w:val="002337B2"/>
    <w:rsid w:val="002625F8"/>
    <w:rsid w:val="00271209"/>
    <w:rsid w:val="0027254F"/>
    <w:rsid w:val="002748B3"/>
    <w:rsid w:val="00277878"/>
    <w:rsid w:val="002B189B"/>
    <w:rsid w:val="002B2FC7"/>
    <w:rsid w:val="002D5809"/>
    <w:rsid w:val="002E4840"/>
    <w:rsid w:val="002F0275"/>
    <w:rsid w:val="0030275B"/>
    <w:rsid w:val="00302DBB"/>
    <w:rsid w:val="003033CD"/>
    <w:rsid w:val="00304229"/>
    <w:rsid w:val="00304F83"/>
    <w:rsid w:val="0030786C"/>
    <w:rsid w:val="00313943"/>
    <w:rsid w:val="00314E36"/>
    <w:rsid w:val="00314F76"/>
    <w:rsid w:val="00316F6F"/>
    <w:rsid w:val="003176C2"/>
    <w:rsid w:val="003243E5"/>
    <w:rsid w:val="00340233"/>
    <w:rsid w:val="00341C5B"/>
    <w:rsid w:val="00344C5D"/>
    <w:rsid w:val="00362E22"/>
    <w:rsid w:val="00370B9F"/>
    <w:rsid w:val="00382B3E"/>
    <w:rsid w:val="003A4FD0"/>
    <w:rsid w:val="003B33E1"/>
    <w:rsid w:val="003B4CA6"/>
    <w:rsid w:val="003D17F9"/>
    <w:rsid w:val="003D262C"/>
    <w:rsid w:val="003D3A1F"/>
    <w:rsid w:val="003E0CC7"/>
    <w:rsid w:val="003F26C8"/>
    <w:rsid w:val="003F72B1"/>
    <w:rsid w:val="00401220"/>
    <w:rsid w:val="00412B8B"/>
    <w:rsid w:val="00415D64"/>
    <w:rsid w:val="0041771E"/>
    <w:rsid w:val="0042693A"/>
    <w:rsid w:val="00444CCE"/>
    <w:rsid w:val="0045258A"/>
    <w:rsid w:val="00454AC5"/>
    <w:rsid w:val="004867E2"/>
    <w:rsid w:val="004B0826"/>
    <w:rsid w:val="004B1EA3"/>
    <w:rsid w:val="004C3E00"/>
    <w:rsid w:val="004C4FB5"/>
    <w:rsid w:val="004D7882"/>
    <w:rsid w:val="004D7EA2"/>
    <w:rsid w:val="004E7EEF"/>
    <w:rsid w:val="004F2675"/>
    <w:rsid w:val="00511CFA"/>
    <w:rsid w:val="005129C9"/>
    <w:rsid w:val="00533D03"/>
    <w:rsid w:val="00541892"/>
    <w:rsid w:val="005434EC"/>
    <w:rsid w:val="0057671C"/>
    <w:rsid w:val="005814E2"/>
    <w:rsid w:val="0058320B"/>
    <w:rsid w:val="005C0167"/>
    <w:rsid w:val="005C46CC"/>
    <w:rsid w:val="005C4729"/>
    <w:rsid w:val="005C6125"/>
    <w:rsid w:val="00607DF1"/>
    <w:rsid w:val="00611683"/>
    <w:rsid w:val="00615213"/>
    <w:rsid w:val="00617B62"/>
    <w:rsid w:val="006270D9"/>
    <w:rsid w:val="0063539C"/>
    <w:rsid w:val="00636B12"/>
    <w:rsid w:val="00640935"/>
    <w:rsid w:val="00665D42"/>
    <w:rsid w:val="00667210"/>
    <w:rsid w:val="00696A5D"/>
    <w:rsid w:val="006A24BE"/>
    <w:rsid w:val="006B15FD"/>
    <w:rsid w:val="006B7216"/>
    <w:rsid w:val="006C2B74"/>
    <w:rsid w:val="006C7B0C"/>
    <w:rsid w:val="006D48DB"/>
    <w:rsid w:val="006E0577"/>
    <w:rsid w:val="006F40ED"/>
    <w:rsid w:val="00700269"/>
    <w:rsid w:val="00705BE7"/>
    <w:rsid w:val="00705EA5"/>
    <w:rsid w:val="007117C2"/>
    <w:rsid w:val="00711C08"/>
    <w:rsid w:val="00747EAD"/>
    <w:rsid w:val="00757017"/>
    <w:rsid w:val="00781FFA"/>
    <w:rsid w:val="00786194"/>
    <w:rsid w:val="00792542"/>
    <w:rsid w:val="00793165"/>
    <w:rsid w:val="007B581C"/>
    <w:rsid w:val="007C4D6B"/>
    <w:rsid w:val="007D4931"/>
    <w:rsid w:val="007E3AFA"/>
    <w:rsid w:val="007E537B"/>
    <w:rsid w:val="007F11C1"/>
    <w:rsid w:val="007F31AE"/>
    <w:rsid w:val="007F6326"/>
    <w:rsid w:val="0080355A"/>
    <w:rsid w:val="008109B6"/>
    <w:rsid w:val="008119F4"/>
    <w:rsid w:val="0081236A"/>
    <w:rsid w:val="008124D5"/>
    <w:rsid w:val="00815B38"/>
    <w:rsid w:val="00816EB0"/>
    <w:rsid w:val="008201F9"/>
    <w:rsid w:val="008264EB"/>
    <w:rsid w:val="00831263"/>
    <w:rsid w:val="008317E9"/>
    <w:rsid w:val="0086094A"/>
    <w:rsid w:val="00861739"/>
    <w:rsid w:val="008628EA"/>
    <w:rsid w:val="008641A8"/>
    <w:rsid w:val="00867F5E"/>
    <w:rsid w:val="00871C17"/>
    <w:rsid w:val="00874F1C"/>
    <w:rsid w:val="00885BD7"/>
    <w:rsid w:val="00890BCF"/>
    <w:rsid w:val="008A56D7"/>
    <w:rsid w:val="008C31FE"/>
    <w:rsid w:val="008C3D7A"/>
    <w:rsid w:val="008C3DC6"/>
    <w:rsid w:val="008C6692"/>
    <w:rsid w:val="008C74CF"/>
    <w:rsid w:val="008D22B5"/>
    <w:rsid w:val="008D333B"/>
    <w:rsid w:val="008D5CEF"/>
    <w:rsid w:val="00906051"/>
    <w:rsid w:val="00915F6E"/>
    <w:rsid w:val="00927BE8"/>
    <w:rsid w:val="009325AD"/>
    <w:rsid w:val="009331AA"/>
    <w:rsid w:val="009360C7"/>
    <w:rsid w:val="009446AC"/>
    <w:rsid w:val="00956EB7"/>
    <w:rsid w:val="0098164B"/>
    <w:rsid w:val="009975C2"/>
    <w:rsid w:val="009A5406"/>
    <w:rsid w:val="009B5852"/>
    <w:rsid w:val="009C621E"/>
    <w:rsid w:val="009D30F4"/>
    <w:rsid w:val="009D3335"/>
    <w:rsid w:val="009E09AB"/>
    <w:rsid w:val="009E75A3"/>
    <w:rsid w:val="00A028C4"/>
    <w:rsid w:val="00A118A0"/>
    <w:rsid w:val="00A118B7"/>
    <w:rsid w:val="00A1344F"/>
    <w:rsid w:val="00A168C5"/>
    <w:rsid w:val="00A4512D"/>
    <w:rsid w:val="00A4780E"/>
    <w:rsid w:val="00A50A1C"/>
    <w:rsid w:val="00A537E8"/>
    <w:rsid w:val="00A55E9B"/>
    <w:rsid w:val="00A57AA3"/>
    <w:rsid w:val="00A6070D"/>
    <w:rsid w:val="00A618A7"/>
    <w:rsid w:val="00A64728"/>
    <w:rsid w:val="00A64917"/>
    <w:rsid w:val="00A705AF"/>
    <w:rsid w:val="00A76577"/>
    <w:rsid w:val="00A812E6"/>
    <w:rsid w:val="00A868A2"/>
    <w:rsid w:val="00AA474C"/>
    <w:rsid w:val="00AB090A"/>
    <w:rsid w:val="00AC1F48"/>
    <w:rsid w:val="00AC61CF"/>
    <w:rsid w:val="00AD1CD6"/>
    <w:rsid w:val="00AD7D1F"/>
    <w:rsid w:val="00AF38E4"/>
    <w:rsid w:val="00AF798B"/>
    <w:rsid w:val="00B11E04"/>
    <w:rsid w:val="00B13265"/>
    <w:rsid w:val="00B273A9"/>
    <w:rsid w:val="00B34FAB"/>
    <w:rsid w:val="00B4011C"/>
    <w:rsid w:val="00B41200"/>
    <w:rsid w:val="00B414A1"/>
    <w:rsid w:val="00B42851"/>
    <w:rsid w:val="00B51DF1"/>
    <w:rsid w:val="00B53639"/>
    <w:rsid w:val="00B547F1"/>
    <w:rsid w:val="00B57751"/>
    <w:rsid w:val="00B7021D"/>
    <w:rsid w:val="00B71250"/>
    <w:rsid w:val="00BA5A06"/>
    <w:rsid w:val="00BA6F9B"/>
    <w:rsid w:val="00BB0C36"/>
    <w:rsid w:val="00BB7F31"/>
    <w:rsid w:val="00BC19DA"/>
    <w:rsid w:val="00BD7AD7"/>
    <w:rsid w:val="00BF4FDD"/>
    <w:rsid w:val="00BF7AF3"/>
    <w:rsid w:val="00C14844"/>
    <w:rsid w:val="00C24074"/>
    <w:rsid w:val="00C35359"/>
    <w:rsid w:val="00C405D8"/>
    <w:rsid w:val="00C64A15"/>
    <w:rsid w:val="00C743D1"/>
    <w:rsid w:val="00C84175"/>
    <w:rsid w:val="00C932F9"/>
    <w:rsid w:val="00C956FD"/>
    <w:rsid w:val="00CA7683"/>
    <w:rsid w:val="00CB5B1A"/>
    <w:rsid w:val="00CD46EC"/>
    <w:rsid w:val="00CE5EE4"/>
    <w:rsid w:val="00CF536F"/>
    <w:rsid w:val="00D1101C"/>
    <w:rsid w:val="00D14831"/>
    <w:rsid w:val="00D159AD"/>
    <w:rsid w:val="00D401CB"/>
    <w:rsid w:val="00D41AF6"/>
    <w:rsid w:val="00D53109"/>
    <w:rsid w:val="00D5616B"/>
    <w:rsid w:val="00D66381"/>
    <w:rsid w:val="00D71BF3"/>
    <w:rsid w:val="00D77A10"/>
    <w:rsid w:val="00D80E52"/>
    <w:rsid w:val="00D82B15"/>
    <w:rsid w:val="00D84F5C"/>
    <w:rsid w:val="00D863AB"/>
    <w:rsid w:val="00D87E12"/>
    <w:rsid w:val="00D9109D"/>
    <w:rsid w:val="00D9307E"/>
    <w:rsid w:val="00D94D0A"/>
    <w:rsid w:val="00DA0913"/>
    <w:rsid w:val="00DA2803"/>
    <w:rsid w:val="00DA2FFC"/>
    <w:rsid w:val="00DA534D"/>
    <w:rsid w:val="00DB0115"/>
    <w:rsid w:val="00DD54F2"/>
    <w:rsid w:val="00DE4007"/>
    <w:rsid w:val="00DF0D25"/>
    <w:rsid w:val="00DF189B"/>
    <w:rsid w:val="00DF3CDC"/>
    <w:rsid w:val="00DF412B"/>
    <w:rsid w:val="00DF5059"/>
    <w:rsid w:val="00DF6B0E"/>
    <w:rsid w:val="00E03DED"/>
    <w:rsid w:val="00E0557A"/>
    <w:rsid w:val="00E13463"/>
    <w:rsid w:val="00E15715"/>
    <w:rsid w:val="00E242CA"/>
    <w:rsid w:val="00E352CA"/>
    <w:rsid w:val="00E41CD2"/>
    <w:rsid w:val="00E42CBF"/>
    <w:rsid w:val="00E451A1"/>
    <w:rsid w:val="00E548D1"/>
    <w:rsid w:val="00E573D1"/>
    <w:rsid w:val="00E62E79"/>
    <w:rsid w:val="00E6713D"/>
    <w:rsid w:val="00E67BFD"/>
    <w:rsid w:val="00E84202"/>
    <w:rsid w:val="00E859C9"/>
    <w:rsid w:val="00E95E91"/>
    <w:rsid w:val="00EA5EC6"/>
    <w:rsid w:val="00EB28F6"/>
    <w:rsid w:val="00EB6A7A"/>
    <w:rsid w:val="00EB74F1"/>
    <w:rsid w:val="00EC4143"/>
    <w:rsid w:val="00EC5692"/>
    <w:rsid w:val="00EC76DE"/>
    <w:rsid w:val="00ED16A3"/>
    <w:rsid w:val="00EE4CAB"/>
    <w:rsid w:val="00EF169D"/>
    <w:rsid w:val="00F00AF0"/>
    <w:rsid w:val="00F014D8"/>
    <w:rsid w:val="00F039B7"/>
    <w:rsid w:val="00F24B0D"/>
    <w:rsid w:val="00F2609B"/>
    <w:rsid w:val="00F506E7"/>
    <w:rsid w:val="00F6241E"/>
    <w:rsid w:val="00F63139"/>
    <w:rsid w:val="00F64246"/>
    <w:rsid w:val="00F735B2"/>
    <w:rsid w:val="00F83876"/>
    <w:rsid w:val="00F91806"/>
    <w:rsid w:val="00FA3411"/>
    <w:rsid w:val="00FA65B5"/>
    <w:rsid w:val="00FA6DF6"/>
    <w:rsid w:val="00FB20D6"/>
    <w:rsid w:val="00FB4582"/>
    <w:rsid w:val="00FB6812"/>
    <w:rsid w:val="00FB71F5"/>
    <w:rsid w:val="00FE07DD"/>
    <w:rsid w:val="00FE1C0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C796A"/>
  <w15:docId w15:val="{2B608B9F-A6C3-40D6-B2AA-4224160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401CB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6B7216"/>
    <w:pPr>
      <w:spacing w:before="60" w:after="60"/>
      <w:jc w:val="center"/>
    </w:pPr>
    <w:rPr>
      <w:rFonts w:ascii="Tahoma" w:hAnsi="Tahoma"/>
      <w:b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Text2">
    <w:name w:val="QRG Text 2"/>
    <w:basedOn w:val="QRGText"/>
    <w:rsid w:val="00314E36"/>
    <w:pPr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EE4C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2163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0AF0"/>
    <w:pPr>
      <w:tabs>
        <w:tab w:val="left" w:pos="397"/>
        <w:tab w:val="left" w:pos="794"/>
        <w:tab w:val="left" w:pos="1191"/>
      </w:tabs>
      <w:spacing w:before="6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00AF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hyperlink" Target="https://dataportal.health.gov.au/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with the Workforce Profile Spreadsheet in an OSR Data Asset</vt:lpstr>
    </vt:vector>
  </TitlesOfParts>
  <Company>Department of Immigration and Border Protection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the Workforce Profile Spreadsheet in an OSR Submission</dc:title>
  <dc:creator>Joel Dennerley</dc:creator>
  <cp:lastModifiedBy>DUNN, Stuart</cp:lastModifiedBy>
  <cp:revision>35</cp:revision>
  <cp:lastPrinted>2018-06-29T06:06:00Z</cp:lastPrinted>
  <dcterms:created xsi:type="dcterms:W3CDTF">2020-06-12T03:52:00Z</dcterms:created>
  <dcterms:modified xsi:type="dcterms:W3CDTF">2024-04-07T22:43:00Z</dcterms:modified>
</cp:coreProperties>
</file>