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EC97" w14:textId="597A1985" w:rsidR="00D14831" w:rsidRPr="00F735B2" w:rsidRDefault="00D14831" w:rsidP="00F735B2">
      <w:pPr>
        <w:pStyle w:val="QRGText"/>
        <w:sectPr w:rsidR="00D14831" w:rsidRPr="00F735B2" w:rsidSect="00316F6F">
          <w:headerReference w:type="even" r:id="rId8"/>
          <w:headerReference w:type="default" r:id="rId9"/>
          <w:footerReference w:type="even" r:id="rId10"/>
          <w:footerReference w:type="default" r:id="rId11"/>
          <w:headerReference w:type="first" r:id="rId12"/>
          <w:footerReference w:type="first" r:id="rId13"/>
          <w:pgSz w:w="11906" w:h="16838" w:code="9"/>
          <w:pgMar w:top="1702" w:right="849" w:bottom="851" w:left="567" w:header="284" w:footer="0" w:gutter="0"/>
          <w:cols w:space="708"/>
          <w:docGrid w:linePitch="360"/>
        </w:sectPr>
      </w:pPr>
    </w:p>
    <w:p w14:paraId="2E003A38" w14:textId="4F62C8D0" w:rsidR="00AF58B0" w:rsidRDefault="00AF58B0" w:rsidP="00C9093A">
      <w:pPr>
        <w:pStyle w:val="QRGText"/>
      </w:pPr>
      <w:r>
        <w:t xml:space="preserve">To submit </w:t>
      </w:r>
      <w:r w:rsidR="000E4608">
        <w:t xml:space="preserve">your </w:t>
      </w:r>
      <w:r w:rsidR="00123B17" w:rsidRPr="007F5E39">
        <w:t xml:space="preserve">IAHP PHC </w:t>
      </w:r>
      <w:r w:rsidR="00F455CD" w:rsidRPr="007F5E39">
        <w:t>AWP</w:t>
      </w:r>
      <w:r w:rsidR="00F455CD">
        <w:rPr>
          <w:i/>
          <w:iCs/>
        </w:rPr>
        <w:t xml:space="preserve"> </w:t>
      </w:r>
      <w:r w:rsidR="000E4608">
        <w:t>through</w:t>
      </w:r>
      <w:r>
        <w:t xml:space="preserve"> the </w:t>
      </w:r>
      <w:r w:rsidR="00BA56CB">
        <w:t xml:space="preserve">Data </w:t>
      </w:r>
      <w:r>
        <w:t>Portal</w:t>
      </w:r>
      <w:r w:rsidR="00A2524E">
        <w:t xml:space="preserve">, as a </w:t>
      </w:r>
      <w:r w:rsidR="00A2524E" w:rsidRPr="00A2524E">
        <w:rPr>
          <w:i/>
          <w:iCs/>
        </w:rPr>
        <w:t>Submission Uploader</w:t>
      </w:r>
      <w:r>
        <w:t>:</w:t>
      </w:r>
    </w:p>
    <w:p w14:paraId="59C63642" w14:textId="77777777" w:rsidR="00AF58B0" w:rsidRDefault="00AF58B0" w:rsidP="00AF58B0">
      <w:pPr>
        <w:pStyle w:val="QRGNumbering1"/>
      </w:pPr>
      <w:r>
        <w:t xml:space="preserve">Open the Data Portal through </w:t>
      </w:r>
      <w:hyperlink r:id="rId14" w:history="1">
        <w:r w:rsidR="0062553C">
          <w:rPr>
            <w:rStyle w:val="Hyperlink"/>
          </w:rPr>
          <w:t>Health Data Portal</w:t>
        </w:r>
      </w:hyperlink>
      <w:r>
        <w:t>.</w:t>
      </w:r>
    </w:p>
    <w:p w14:paraId="241C597F" w14:textId="196C5CC3" w:rsidR="00FC1A43" w:rsidRDefault="00FC1A43" w:rsidP="00FC1A43">
      <w:pPr>
        <w:pStyle w:val="QRGNumbering1"/>
      </w:pPr>
      <w:r>
        <w:t xml:space="preserve">Log in using the information provided in the </w:t>
      </w:r>
      <w:r w:rsidR="004D4AFE">
        <w:rPr>
          <w:i/>
        </w:rPr>
        <w:t>Register for and Log in</w:t>
      </w:r>
      <w:r>
        <w:rPr>
          <w:i/>
        </w:rPr>
        <w:t xml:space="preserve"> to the Health Data Portal</w:t>
      </w:r>
      <w:r>
        <w:t xml:space="preserve"> QRG.</w:t>
      </w:r>
    </w:p>
    <w:p w14:paraId="6EA2169B" w14:textId="77CC1723" w:rsidR="00396343" w:rsidRDefault="00396343" w:rsidP="00396343">
      <w:pPr>
        <w:pStyle w:val="QRGText"/>
      </w:pPr>
      <w:r>
        <w:t xml:space="preserve">The Data Portal </w:t>
      </w:r>
      <w:r w:rsidR="00951E20">
        <w:t>h</w:t>
      </w:r>
      <w:r>
        <w:t xml:space="preserve">ome screen will display with the </w:t>
      </w:r>
      <w:r w:rsidRPr="00A2524E">
        <w:rPr>
          <w:iCs/>
        </w:rPr>
        <w:t>Reporting Dashboard</w:t>
      </w:r>
      <w:r>
        <w:t xml:space="preserve"> open.</w:t>
      </w:r>
    </w:p>
    <w:p w14:paraId="77F02BC9" w14:textId="7DD196EA" w:rsidR="00136438" w:rsidRPr="00136438" w:rsidRDefault="00136438" w:rsidP="00136438">
      <w:pPr>
        <w:pStyle w:val="QRGPictureCentre"/>
      </w:pPr>
      <w:r>
        <w:drawing>
          <wp:inline distT="0" distB="0" distL="0" distR="0" wp14:anchorId="6C977D3A" wp14:editId="2EAA0FAD">
            <wp:extent cx="3105785" cy="1766570"/>
            <wp:effectExtent l="19050" t="19050" r="18415" b="24130"/>
            <wp:docPr id="1" name="Picture 1" descr="picture of the Data Portal home screen, showing the highlighted AWP in the Reporting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Data Portal home screen, showing the highlighted AWP in the Reporting Dashboar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5785" cy="1766570"/>
                    </a:xfrm>
                    <a:prstGeom prst="rect">
                      <a:avLst/>
                    </a:prstGeom>
                    <a:ln>
                      <a:solidFill>
                        <a:schemeClr val="tx1"/>
                      </a:solidFill>
                    </a:ln>
                  </pic:spPr>
                </pic:pic>
              </a:graphicData>
            </a:graphic>
          </wp:inline>
        </w:drawing>
      </w:r>
    </w:p>
    <w:p w14:paraId="457B988C" w14:textId="6C78C611" w:rsidR="00396343" w:rsidRDefault="00396343" w:rsidP="00396343">
      <w:pPr>
        <w:pStyle w:val="QRGNumbering1"/>
      </w:pPr>
      <w:r>
        <w:t>To commence the creation of your</w:t>
      </w:r>
      <w:r w:rsidR="007F5E39">
        <w:t xml:space="preserve"> IAHP PHC</w:t>
      </w:r>
      <w:r>
        <w:t xml:space="preserve"> </w:t>
      </w:r>
      <w:r w:rsidR="008E2170" w:rsidRPr="007F5E39">
        <w:t>AWP</w:t>
      </w:r>
      <w:r w:rsidRPr="007F5E39">
        <w:t>,</w:t>
      </w:r>
      <w:r>
        <w:t xml:space="preserve"> select </w:t>
      </w:r>
      <w:r>
        <w:rPr>
          <w:noProof/>
          <w:lang w:eastAsia="en-AU"/>
        </w:rPr>
        <w:drawing>
          <wp:inline distT="0" distB="0" distL="0" distR="0" wp14:anchorId="227F91C7" wp14:editId="13084055">
            <wp:extent cx="180000" cy="180000"/>
            <wp:effectExtent l="0" t="0" r="0" b="0"/>
            <wp:docPr id="12" name="Picture 12" title="Start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t xml:space="preserve"> to the right of the </w:t>
      </w:r>
      <w:r w:rsidR="007F5E39">
        <w:t xml:space="preserve">Activity Work Plan </w:t>
      </w:r>
      <w:r>
        <w:t xml:space="preserve">reporting round </w:t>
      </w:r>
      <w:r w:rsidR="007F5E39">
        <w:t>text</w:t>
      </w:r>
      <w:r>
        <w:t xml:space="preserve"> in the </w:t>
      </w:r>
      <w:r w:rsidRPr="00A2524E">
        <w:rPr>
          <w:bCs/>
        </w:rPr>
        <w:t>Reporting Dashboard</w:t>
      </w:r>
      <w:r w:rsidR="0036696F">
        <w:rPr>
          <w:b/>
        </w:rPr>
        <w:t xml:space="preserve"> </w:t>
      </w:r>
      <w:r w:rsidR="0036696F">
        <w:t>(</w:t>
      </w:r>
      <w:r w:rsidR="0036696F" w:rsidRPr="0036696F">
        <w:rPr>
          <w:i/>
        </w:rPr>
        <w:t>as highlighted above</w:t>
      </w:r>
      <w:r w:rsidR="00D31104">
        <w:rPr>
          <w:i/>
        </w:rPr>
        <w:t xml:space="preserve"> in red</w:t>
      </w:r>
      <w:r w:rsidR="0036696F">
        <w:t>)</w:t>
      </w:r>
      <w:r>
        <w:t>.</w:t>
      </w:r>
    </w:p>
    <w:p w14:paraId="78D81A7D" w14:textId="1654ED34" w:rsidR="008237CF" w:rsidRDefault="008237CF" w:rsidP="008237CF">
      <w:pPr>
        <w:pStyle w:val="QRGText"/>
      </w:pPr>
      <w:r>
        <w:t xml:space="preserve">The </w:t>
      </w:r>
      <w:r w:rsidR="007F5E39">
        <w:t xml:space="preserve">IAHP PHC </w:t>
      </w:r>
      <w:r>
        <w:t xml:space="preserve">AWP form will display with the </w:t>
      </w:r>
      <w:r w:rsidRPr="008237CF">
        <w:rPr>
          <w:i/>
          <w:iCs/>
        </w:rPr>
        <w:t>Reporting Contact – Contact Information</w:t>
      </w:r>
      <w:r>
        <w:t xml:space="preserve"> </w:t>
      </w:r>
      <w:r w:rsidR="009506B0">
        <w:t xml:space="preserve">section </w:t>
      </w:r>
      <w:r>
        <w:t>displaying by default.</w:t>
      </w:r>
    </w:p>
    <w:p w14:paraId="5D982211" w14:textId="273922A3" w:rsidR="0020451C" w:rsidRPr="0020451C" w:rsidRDefault="0020451C" w:rsidP="0020451C">
      <w:pPr>
        <w:pStyle w:val="QRGPictureCentre"/>
      </w:pPr>
      <w:r>
        <w:drawing>
          <wp:inline distT="0" distB="0" distL="0" distR="0" wp14:anchorId="7DF3AC05" wp14:editId="53B15560">
            <wp:extent cx="3095625" cy="1895475"/>
            <wp:effectExtent l="19050" t="19050" r="28575" b="28575"/>
            <wp:docPr id="3" name="Picture 3" descr="picture of the AWP form, with the Reporting Contact tab dis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the AWP form, with the Reporting Contact tab display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1895475"/>
                    </a:xfrm>
                    <a:prstGeom prst="rect">
                      <a:avLst/>
                    </a:prstGeom>
                    <a:noFill/>
                    <a:ln>
                      <a:solidFill>
                        <a:schemeClr val="tx1"/>
                      </a:solidFill>
                    </a:ln>
                  </pic:spPr>
                </pic:pic>
              </a:graphicData>
            </a:graphic>
          </wp:inline>
        </w:drawing>
      </w:r>
    </w:p>
    <w:p w14:paraId="6874F2AC" w14:textId="53F31D01" w:rsidR="002478C0" w:rsidRDefault="00350777" w:rsidP="002478C0">
      <w:pPr>
        <w:pStyle w:val="QRGNumbering1"/>
      </w:pPr>
      <w:r>
        <w:t xml:space="preserve">You </w:t>
      </w:r>
      <w:r w:rsidR="0048216E">
        <w:t xml:space="preserve">now need to complete each of the sections of </w:t>
      </w:r>
      <w:r w:rsidR="002E33E3">
        <w:t>your</w:t>
      </w:r>
      <w:r w:rsidR="0048216E">
        <w:t xml:space="preserve"> </w:t>
      </w:r>
      <w:r w:rsidR="007F5E39">
        <w:t xml:space="preserve">IAHP PHC </w:t>
      </w:r>
      <w:r w:rsidR="0048216E">
        <w:t xml:space="preserve">AWP before sending it to your DSS </w:t>
      </w:r>
      <w:r w:rsidR="00B810E5">
        <w:t>Funding Agreement Manager (</w:t>
      </w:r>
      <w:r w:rsidR="0048216E">
        <w:t>FAM</w:t>
      </w:r>
      <w:r w:rsidR="00B810E5">
        <w:t>)</w:t>
      </w:r>
      <w:r w:rsidR="0048216E">
        <w:t xml:space="preserve"> for approval.</w:t>
      </w:r>
    </w:p>
    <w:p w14:paraId="67451099" w14:textId="77777777" w:rsidR="00C635D7" w:rsidRDefault="00C635D7" w:rsidP="0048216E">
      <w:pPr>
        <w:pStyle w:val="QRGText"/>
      </w:pPr>
    </w:p>
    <w:p w14:paraId="58C68DA4" w14:textId="77777777" w:rsidR="00AF6A6E" w:rsidRDefault="00AF6A6E" w:rsidP="0048216E">
      <w:pPr>
        <w:pStyle w:val="QRGText"/>
      </w:pPr>
    </w:p>
    <w:p w14:paraId="0625A2EA" w14:textId="77777777" w:rsidR="00AF6A6E" w:rsidRDefault="00AF6A6E" w:rsidP="0048216E">
      <w:pPr>
        <w:pStyle w:val="QRGText"/>
      </w:pPr>
    </w:p>
    <w:p w14:paraId="0B283EB3" w14:textId="77777777" w:rsidR="00AF6A6E" w:rsidRDefault="00AF6A6E" w:rsidP="0048216E">
      <w:pPr>
        <w:pStyle w:val="QRGText"/>
      </w:pPr>
    </w:p>
    <w:p w14:paraId="7604A3DD" w14:textId="594FD04D" w:rsidR="0048216E" w:rsidRDefault="0048216E" w:rsidP="0048216E">
      <w:pPr>
        <w:pStyle w:val="QRGText"/>
      </w:pPr>
      <w:r>
        <w:t xml:space="preserve">The following are the sections of the </w:t>
      </w:r>
      <w:r w:rsidR="007F5E39" w:rsidRPr="007F5E39">
        <w:t>IAHP PHC</w:t>
      </w:r>
      <w:r w:rsidR="007F5E39">
        <w:rPr>
          <w:i/>
          <w:iCs/>
        </w:rPr>
        <w:t xml:space="preserve"> AWP </w:t>
      </w:r>
      <w:r w:rsidR="00B810E5">
        <w:t xml:space="preserve"> </w:t>
      </w:r>
      <w:r>
        <w:t>that need to be completed:</w:t>
      </w:r>
    </w:p>
    <w:p w14:paraId="59944534" w14:textId="7C09CBAF" w:rsidR="0048216E" w:rsidRDefault="0048216E" w:rsidP="0048216E">
      <w:pPr>
        <w:pStyle w:val="QRGBullet1"/>
      </w:pPr>
      <w:r w:rsidRPr="0048216E">
        <w:rPr>
          <w:b/>
          <w:bCs/>
        </w:rPr>
        <w:t>Reporting Contact</w:t>
      </w:r>
      <w:r>
        <w:t xml:space="preserve"> – Select the person within your service who will be the primary contact for </w:t>
      </w:r>
      <w:r w:rsidR="007F5E39">
        <w:t>your</w:t>
      </w:r>
      <w:r>
        <w:t xml:space="preserve"> </w:t>
      </w:r>
      <w:r w:rsidR="00123B17">
        <w:t xml:space="preserve">IAHP PHC </w:t>
      </w:r>
      <w:r>
        <w:t>AWP.</w:t>
      </w:r>
    </w:p>
    <w:p w14:paraId="5AFFEA92" w14:textId="29998C09" w:rsidR="0048216E" w:rsidRDefault="0048216E" w:rsidP="0048216E">
      <w:pPr>
        <w:pStyle w:val="QRGBullet1"/>
      </w:pPr>
      <w:r>
        <w:rPr>
          <w:b/>
          <w:bCs/>
        </w:rPr>
        <w:t xml:space="preserve">IAHP PHC Grant Information </w:t>
      </w:r>
      <w:r>
        <w:t>– Your service’s grant information will display here and can be reviewed as needed.</w:t>
      </w:r>
    </w:p>
    <w:p w14:paraId="029E0D64" w14:textId="215432E3" w:rsidR="0048216E" w:rsidRDefault="0048216E" w:rsidP="0048216E">
      <w:pPr>
        <w:pStyle w:val="QRGBullet1"/>
      </w:pPr>
      <w:r>
        <w:rPr>
          <w:b/>
          <w:bCs/>
        </w:rPr>
        <w:t xml:space="preserve">Key Health Concerns </w:t>
      </w:r>
      <w:r w:rsidR="00C635D7">
        <w:t>–</w:t>
      </w:r>
      <w:r>
        <w:t xml:space="preserve"> </w:t>
      </w:r>
      <w:r w:rsidR="00C635D7">
        <w:t>Select your key health needs and enter information regarding how you are going to address each need.</w:t>
      </w:r>
    </w:p>
    <w:p w14:paraId="3630FD4A" w14:textId="7BC5E441" w:rsidR="00CA0979" w:rsidRDefault="00CA0979" w:rsidP="0048216E">
      <w:pPr>
        <w:pStyle w:val="QRGBullet1"/>
      </w:pPr>
      <w:r>
        <w:rPr>
          <w:b/>
          <w:bCs/>
        </w:rPr>
        <w:t xml:space="preserve">Areas of Focus &amp; Challenges </w:t>
      </w:r>
      <w:r>
        <w:t>– Select your key areas of focus and challenges and how they will be addressed.</w:t>
      </w:r>
    </w:p>
    <w:p w14:paraId="71D278DD" w14:textId="353D175C" w:rsidR="00CA0979" w:rsidRDefault="00CA0979" w:rsidP="0048216E">
      <w:pPr>
        <w:pStyle w:val="QRGBullet1"/>
      </w:pPr>
      <w:r>
        <w:rPr>
          <w:b/>
          <w:bCs/>
        </w:rPr>
        <w:t xml:space="preserve">IAHP PHC FM Additional Funding </w:t>
      </w:r>
      <w:r>
        <w:t xml:space="preserve">– </w:t>
      </w:r>
      <w:r w:rsidR="0020451C">
        <w:t xml:space="preserve">This tab is no longer applicable so please select </w:t>
      </w:r>
      <w:r w:rsidR="0020451C" w:rsidRPr="0020451C">
        <w:rPr>
          <w:b/>
          <w:bCs/>
        </w:rPr>
        <w:t>Not Applicable</w:t>
      </w:r>
      <w:r w:rsidR="0020451C">
        <w:t xml:space="preserve"> and move on</w:t>
      </w:r>
      <w:r>
        <w:t>.</w:t>
      </w:r>
    </w:p>
    <w:p w14:paraId="7C06D558" w14:textId="7875E6BF" w:rsidR="00CA0979" w:rsidRDefault="00CA0979" w:rsidP="0048216E">
      <w:pPr>
        <w:pStyle w:val="QRGBullet1"/>
      </w:pPr>
      <w:r w:rsidRPr="00CA0979">
        <w:rPr>
          <w:b/>
          <w:bCs/>
        </w:rPr>
        <w:t>Staffing information</w:t>
      </w:r>
      <w:r>
        <w:t xml:space="preserve"> </w:t>
      </w:r>
      <w:r w:rsidR="005E5291">
        <w:t>–</w:t>
      </w:r>
      <w:r>
        <w:t xml:space="preserve"> </w:t>
      </w:r>
      <w:r w:rsidR="005E5291">
        <w:t>Upload your organisational chart or staffing profile as appropriate.</w:t>
      </w:r>
    </w:p>
    <w:p w14:paraId="5E221A08" w14:textId="405A4DCF" w:rsidR="005E5291" w:rsidRDefault="005E5291" w:rsidP="0048216E">
      <w:pPr>
        <w:pStyle w:val="QRGBullet1"/>
      </w:pPr>
      <w:r>
        <w:rPr>
          <w:b/>
          <w:bCs/>
        </w:rPr>
        <w:t xml:space="preserve">PHC Service Delivery </w:t>
      </w:r>
      <w:r>
        <w:t xml:space="preserve">– Select </w:t>
      </w:r>
      <w:r w:rsidR="0008444F">
        <w:t>your</w:t>
      </w:r>
      <w:r>
        <w:t xml:space="preserve"> </w:t>
      </w:r>
      <w:r w:rsidR="0008444F">
        <w:t>service’s</w:t>
      </w:r>
      <w:r>
        <w:t xml:space="preserve"> objectives and detail how you will achieve these objectives and </w:t>
      </w:r>
      <w:r w:rsidR="0008444F">
        <w:t xml:space="preserve">by </w:t>
      </w:r>
      <w:r>
        <w:t>when.</w:t>
      </w:r>
    </w:p>
    <w:p w14:paraId="67BEC59D" w14:textId="6CC2BAED" w:rsidR="005E5291" w:rsidRDefault="005E5291" w:rsidP="0048216E">
      <w:pPr>
        <w:pStyle w:val="QRGBullet1"/>
      </w:pPr>
      <w:r>
        <w:rPr>
          <w:b/>
          <w:bCs/>
        </w:rPr>
        <w:t xml:space="preserve">Supporting PHC Delivery </w:t>
      </w:r>
      <w:r w:rsidRPr="005E5291">
        <w:t>-</w:t>
      </w:r>
      <w:r>
        <w:t xml:space="preserve"> </w:t>
      </w:r>
      <w:r w:rsidR="0008444F">
        <w:t>Select your service’s objectives and detail how you will achieve these objectives and by when.</w:t>
      </w:r>
    </w:p>
    <w:p w14:paraId="5F8CEF52" w14:textId="40561F08" w:rsidR="0008444F" w:rsidRDefault="0008444F" w:rsidP="0048216E">
      <w:pPr>
        <w:pStyle w:val="QRGBullet1"/>
      </w:pPr>
      <w:r>
        <w:rPr>
          <w:b/>
          <w:bCs/>
        </w:rPr>
        <w:t xml:space="preserve">Governance, Leadership &amp; Culture </w:t>
      </w:r>
      <w:r w:rsidRPr="0008444F">
        <w:t>-</w:t>
      </w:r>
      <w:r>
        <w:t xml:space="preserve"> Select your service’s objectives and detail how you will achieve these objectives and by when.</w:t>
      </w:r>
    </w:p>
    <w:p w14:paraId="42F15A63" w14:textId="54172E19" w:rsidR="0008444F" w:rsidRDefault="0008444F" w:rsidP="0048216E">
      <w:pPr>
        <w:pStyle w:val="QRGBullet1"/>
      </w:pPr>
      <w:r>
        <w:rPr>
          <w:b/>
          <w:bCs/>
        </w:rPr>
        <w:t xml:space="preserve">Risk Management Plan </w:t>
      </w:r>
      <w:r>
        <w:t xml:space="preserve">– If your Risk Management Plan is </w:t>
      </w:r>
      <w:r w:rsidR="003F50B2">
        <w:t xml:space="preserve">published </w:t>
      </w:r>
      <w:r>
        <w:t>online, enter the details of the website</w:t>
      </w:r>
      <w:r w:rsidR="003F50B2">
        <w:t xml:space="preserve"> it can be found on</w:t>
      </w:r>
      <w:r>
        <w:t>. If you have a Risk Management Plan, you can upload it here. Otherwise, detail the risks your service is facing, the impact each risk will have if it happens and how you will prevent or manage the risks.</w:t>
      </w:r>
    </w:p>
    <w:p w14:paraId="60B0A150" w14:textId="30EAA0BA" w:rsidR="00256FF6" w:rsidRDefault="00256FF6" w:rsidP="0048216E">
      <w:pPr>
        <w:pStyle w:val="QRGBullet1"/>
      </w:pPr>
      <w:r>
        <w:rPr>
          <w:b/>
          <w:bCs/>
        </w:rPr>
        <w:t xml:space="preserve">Budget </w:t>
      </w:r>
      <w:r>
        <w:t>– Upload your budget</w:t>
      </w:r>
      <w:r w:rsidR="0020451C">
        <w:t xml:space="preserve"> and asset register</w:t>
      </w:r>
      <w:r>
        <w:t xml:space="preserve"> for the upcoming financial year, to accompany your Activity Work Plan.</w:t>
      </w:r>
    </w:p>
    <w:p w14:paraId="4303ABB9" w14:textId="77777777" w:rsidR="0052141A" w:rsidRDefault="0052141A" w:rsidP="0052141A">
      <w:pPr>
        <w:pStyle w:val="QRGText"/>
      </w:pPr>
    </w:p>
    <w:p w14:paraId="61886B72" w14:textId="77777777" w:rsidR="0008444F" w:rsidRDefault="0008444F">
      <w:pPr>
        <w:spacing w:before="0" w:after="0"/>
        <w:rPr>
          <w:sz w:val="22"/>
        </w:rPr>
      </w:pPr>
      <w:r>
        <w:br w:type="page"/>
      </w:r>
    </w:p>
    <w:p w14:paraId="698E8CF2" w14:textId="69C07EEE" w:rsidR="002478C0" w:rsidRDefault="002478C0" w:rsidP="002478C0">
      <w:pPr>
        <w:pStyle w:val="QRGText"/>
      </w:pPr>
      <w:r>
        <w:lastRenderedPageBreak/>
        <w:t xml:space="preserve">Some tips for completing </w:t>
      </w:r>
      <w:r w:rsidR="00AF6A6E">
        <w:t>your</w:t>
      </w:r>
      <w:r w:rsidR="00800A68">
        <w:t xml:space="preserve"> </w:t>
      </w:r>
      <w:r w:rsidR="007F5E39" w:rsidRPr="007F5E39">
        <w:t>IAHP PHC AWP</w:t>
      </w:r>
      <w:r w:rsidR="007F5E39">
        <w:rPr>
          <w:i/>
          <w:iCs/>
        </w:rPr>
        <w:t xml:space="preserve"> </w:t>
      </w:r>
      <w:r w:rsidR="00800A68">
        <w:t>in the Data Portal</w:t>
      </w:r>
      <w:r>
        <w:t xml:space="preserve"> are:</w:t>
      </w:r>
    </w:p>
    <w:p w14:paraId="1CC1FF4D" w14:textId="329D0449" w:rsidR="002478C0" w:rsidRDefault="002478C0" w:rsidP="002478C0">
      <w:pPr>
        <w:pStyle w:val="QRGBullet1"/>
      </w:pPr>
      <w:r>
        <w:t xml:space="preserve">Enter </w:t>
      </w:r>
      <w:r w:rsidR="007F5E39">
        <w:t>information</w:t>
      </w:r>
      <w:r>
        <w:t xml:space="preserve"> for each </w:t>
      </w:r>
      <w:r w:rsidR="00350777">
        <w:t>section</w:t>
      </w:r>
      <w:r w:rsidR="000A5BD2">
        <w:t xml:space="preserve"> of the form</w:t>
      </w:r>
      <w:r>
        <w:t xml:space="preserve"> by selecting the applicable tab on the left-hand side of the form.</w:t>
      </w:r>
    </w:p>
    <w:p w14:paraId="1B43828B" w14:textId="346E67A7" w:rsidR="0052141A" w:rsidRDefault="0052141A" w:rsidP="002478C0">
      <w:pPr>
        <w:pStyle w:val="QRGBullet1"/>
      </w:pPr>
      <w:r>
        <w:t xml:space="preserve">The </w:t>
      </w:r>
      <w:r w:rsidR="00D91DB4">
        <w:rPr>
          <w:i/>
          <w:iCs/>
        </w:rPr>
        <w:t>IAHP PHC Grant Information</w:t>
      </w:r>
      <w:r>
        <w:t xml:space="preserve"> tab will pre-populate </w:t>
      </w:r>
      <w:r w:rsidR="00D91DB4">
        <w:t xml:space="preserve">with your grant information from your </w:t>
      </w:r>
      <w:r w:rsidR="007F5E39" w:rsidRPr="007F5E39">
        <w:rPr>
          <w:i/>
          <w:iCs/>
        </w:rPr>
        <w:t>IAHP PHC</w:t>
      </w:r>
      <w:r w:rsidR="007F5E39">
        <w:t xml:space="preserve"> </w:t>
      </w:r>
      <w:r w:rsidR="00D91DB4" w:rsidRPr="00D91DB4">
        <w:rPr>
          <w:i/>
          <w:iCs/>
        </w:rPr>
        <w:t>Performance Report</w:t>
      </w:r>
      <w:r w:rsidR="00D91DB4">
        <w:rPr>
          <w:i/>
          <w:iCs/>
        </w:rPr>
        <w:t xml:space="preserve">. </w:t>
      </w:r>
      <w:r w:rsidR="00D91DB4">
        <w:t xml:space="preserve">If any of this information needs to be changed, select </w:t>
      </w:r>
      <w:r w:rsidR="00D91DB4">
        <w:rPr>
          <w:noProof/>
        </w:rPr>
        <w:drawing>
          <wp:inline distT="0" distB="0" distL="0" distR="0" wp14:anchorId="254D9B5E" wp14:editId="6F0C0375">
            <wp:extent cx="1522800" cy="180000"/>
            <wp:effectExtent l="19050" t="19050" r="20320" b="10795"/>
            <wp:docPr id="19" name="Picture 19" descr="Update Gr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pdate Grant Inform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2800" cy="180000"/>
                    </a:xfrm>
                    <a:prstGeom prst="rect">
                      <a:avLst/>
                    </a:prstGeom>
                    <a:noFill/>
                    <a:ln>
                      <a:solidFill>
                        <a:schemeClr val="tx1"/>
                      </a:solidFill>
                    </a:ln>
                  </pic:spPr>
                </pic:pic>
              </a:graphicData>
            </a:graphic>
          </wp:inline>
        </w:drawing>
      </w:r>
      <w:r w:rsidR="00D91DB4">
        <w:t xml:space="preserve"> and ask for the information to be updated.</w:t>
      </w:r>
    </w:p>
    <w:p w14:paraId="4B159DA4" w14:textId="3080CB62" w:rsidR="00E63B58" w:rsidRDefault="00E63B58" w:rsidP="002478C0">
      <w:pPr>
        <w:pStyle w:val="QRGBullet1"/>
      </w:pPr>
      <w:r>
        <w:t xml:space="preserve">You can refer to and copy information from last year’s AWP for particular sessions, where applicable, using the </w:t>
      </w:r>
      <w:r w:rsidRPr="00E63B58">
        <w:rPr>
          <w:i/>
          <w:iCs/>
        </w:rPr>
        <w:t>Response from previous Activity Work Plan</w:t>
      </w:r>
      <w:r>
        <w:t xml:space="preserve"> section.</w:t>
      </w:r>
    </w:p>
    <w:p w14:paraId="58931B35" w14:textId="3B59B2B8" w:rsidR="001B2AA9" w:rsidRDefault="001B2AA9" w:rsidP="002478C0">
      <w:pPr>
        <w:pStyle w:val="QRGBullet1"/>
      </w:pPr>
      <w:r>
        <w:t xml:space="preserve">You can download an offline Word version of the AWP form to complete and then upload back to the Data Portal, by selecting </w:t>
      </w:r>
      <w:r>
        <w:rPr>
          <w:noProof/>
        </w:rPr>
        <w:drawing>
          <wp:inline distT="0" distB="0" distL="0" distR="0" wp14:anchorId="1975C1C4" wp14:editId="61AD129B">
            <wp:extent cx="180000" cy="180000"/>
            <wp:effectExtent l="19050" t="19050" r="10795" b="10795"/>
            <wp:docPr id="6" name="Picture 6" descr="Export Offline Wor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ort Offline Word fo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r>
        <w:t xml:space="preserve">. For more information see the </w:t>
      </w:r>
      <w:r w:rsidRPr="001B2AA9">
        <w:rPr>
          <w:i/>
          <w:iCs/>
        </w:rPr>
        <w:t>Use the Offline Form to complete your IAHP PHC AWP</w:t>
      </w:r>
      <w:r>
        <w:t xml:space="preserve"> guide.</w:t>
      </w:r>
    </w:p>
    <w:p w14:paraId="3515ECAA" w14:textId="69E49917" w:rsidR="00522498" w:rsidRDefault="00522498" w:rsidP="002478C0">
      <w:pPr>
        <w:pStyle w:val="QRGBullet1"/>
      </w:pPr>
      <w:r>
        <w:t xml:space="preserve">You can add comments for your colleagues on any section of the form by selecting </w:t>
      </w:r>
      <w:r>
        <w:rPr>
          <w:noProof/>
          <w:lang w:eastAsia="en-AU"/>
        </w:rPr>
        <w:drawing>
          <wp:inline distT="0" distB="0" distL="0" distR="0" wp14:anchorId="618DC3A8" wp14:editId="1697E418">
            <wp:extent cx="514800" cy="180000"/>
            <wp:effectExtent l="19050" t="19050" r="19050" b="10795"/>
            <wp:docPr id="2" name="Picture 2" title="Create 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800" cy="180000"/>
                    </a:xfrm>
                    <a:prstGeom prst="rect">
                      <a:avLst/>
                    </a:prstGeom>
                    <a:noFill/>
                    <a:ln>
                      <a:solidFill>
                        <a:schemeClr val="tx1"/>
                      </a:solidFill>
                    </a:ln>
                  </pic:spPr>
                </pic:pic>
              </a:graphicData>
            </a:graphic>
          </wp:inline>
        </w:drawing>
      </w:r>
      <w:r>
        <w:t xml:space="preserve"> at the top of the </w:t>
      </w:r>
      <w:r w:rsidRPr="009D2666">
        <w:rPr>
          <w:i/>
        </w:rPr>
        <w:t>Notifications Tray</w:t>
      </w:r>
      <w:r>
        <w:t xml:space="preserve">, adding in the comment or question for your colleagues and then selecting </w:t>
      </w:r>
      <w:r w:rsidRPr="00522498">
        <w:rPr>
          <w:i/>
          <w:iCs/>
        </w:rPr>
        <w:t>Save</w:t>
      </w:r>
      <w:r>
        <w:t>.</w:t>
      </w:r>
    </w:p>
    <w:p w14:paraId="01D201CB" w14:textId="1155CFCB" w:rsidR="00183C98" w:rsidRDefault="00183C98" w:rsidP="002478C0">
      <w:pPr>
        <w:pStyle w:val="QRGBullet1"/>
      </w:pPr>
      <w:r>
        <w:t xml:space="preserve">Documents can be uploaded to the </w:t>
      </w:r>
      <w:r w:rsidRPr="00183C98">
        <w:rPr>
          <w:i/>
          <w:iCs/>
        </w:rPr>
        <w:t>Key Health Concerns</w:t>
      </w:r>
      <w:r>
        <w:t xml:space="preserve">, </w:t>
      </w:r>
      <w:r w:rsidRPr="00183C98">
        <w:rPr>
          <w:i/>
          <w:iCs/>
        </w:rPr>
        <w:t>Staffing Information</w:t>
      </w:r>
      <w:r w:rsidR="00E63B58">
        <w:rPr>
          <w:i/>
          <w:iCs/>
        </w:rPr>
        <w:t>,</w:t>
      </w:r>
      <w:r>
        <w:t xml:space="preserve"> </w:t>
      </w:r>
      <w:r w:rsidRPr="00183C98">
        <w:rPr>
          <w:i/>
          <w:iCs/>
        </w:rPr>
        <w:t>Risk Management Plan</w:t>
      </w:r>
      <w:r>
        <w:t xml:space="preserve"> </w:t>
      </w:r>
      <w:r w:rsidR="00E63B58">
        <w:t xml:space="preserve">and </w:t>
      </w:r>
      <w:r w:rsidR="00E63B58" w:rsidRPr="00E63B58">
        <w:rPr>
          <w:i/>
          <w:iCs/>
        </w:rPr>
        <w:t>Budget</w:t>
      </w:r>
      <w:r w:rsidR="00E63B58">
        <w:t xml:space="preserve"> </w:t>
      </w:r>
      <w:r>
        <w:t xml:space="preserve">sections of </w:t>
      </w:r>
      <w:r w:rsidR="0066600C">
        <w:t>your</w:t>
      </w:r>
      <w:r>
        <w:t xml:space="preserve"> </w:t>
      </w:r>
      <w:r w:rsidR="0066600C" w:rsidRPr="0066600C">
        <w:t>IAHP PHC AWP</w:t>
      </w:r>
      <w:r w:rsidR="0066600C">
        <w:rPr>
          <w:i/>
          <w:iCs/>
        </w:rPr>
        <w:t xml:space="preserve"> </w:t>
      </w:r>
      <w:r>
        <w:t>using the applicable upload buttons as needed.</w:t>
      </w:r>
    </w:p>
    <w:p w14:paraId="0259BDFB" w14:textId="4871C5DE" w:rsidR="0020451C" w:rsidRDefault="0020451C" w:rsidP="002478C0">
      <w:pPr>
        <w:pStyle w:val="QRGBullet1"/>
      </w:pPr>
      <w:r>
        <w:t xml:space="preserve">A </w:t>
      </w:r>
      <w:r w:rsidRPr="0020451C">
        <w:rPr>
          <w:i/>
          <w:iCs/>
        </w:rPr>
        <w:t>Risk Management Plan</w:t>
      </w:r>
      <w:r>
        <w:t xml:space="preserve"> and </w:t>
      </w:r>
      <w:r w:rsidRPr="0020451C">
        <w:rPr>
          <w:i/>
          <w:iCs/>
        </w:rPr>
        <w:t>Budget and Asset Register</w:t>
      </w:r>
      <w:r>
        <w:t xml:space="preserve"> template can be download from the applicable tab if needed.</w:t>
      </w:r>
    </w:p>
    <w:p w14:paraId="12F26C24" w14:textId="5677F634" w:rsidR="00183C98" w:rsidRDefault="00183C98" w:rsidP="002478C0">
      <w:pPr>
        <w:pStyle w:val="QRGBullet1"/>
      </w:pPr>
      <w:r>
        <w:t xml:space="preserve">The help text at the top of the </w:t>
      </w:r>
      <w:r w:rsidRPr="00183C98">
        <w:rPr>
          <w:i/>
          <w:iCs/>
        </w:rPr>
        <w:t>Primary Health Care Service Delivery</w:t>
      </w:r>
      <w:r>
        <w:t xml:space="preserve"> and </w:t>
      </w:r>
      <w:r w:rsidRPr="00183C98">
        <w:rPr>
          <w:i/>
          <w:iCs/>
        </w:rPr>
        <w:t xml:space="preserve">Risk Management Plan </w:t>
      </w:r>
      <w:r>
        <w:t xml:space="preserve">tabs can be collapsed and expanded using </w:t>
      </w:r>
      <w:r>
        <w:rPr>
          <w:noProof/>
        </w:rPr>
        <w:drawing>
          <wp:inline distT="0" distB="0" distL="0" distR="0" wp14:anchorId="113295A8" wp14:editId="65B7FFA9">
            <wp:extent cx="133350" cy="95250"/>
            <wp:effectExtent l="0" t="0" r="0" b="0"/>
            <wp:docPr id="15" name="Picture 15" descr="th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a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t>.</w:t>
      </w:r>
    </w:p>
    <w:p w14:paraId="36F5C786" w14:textId="77777777" w:rsidR="002478C0" w:rsidRDefault="002478C0" w:rsidP="002478C0">
      <w:pPr>
        <w:pStyle w:val="QRGNumbering1"/>
        <w:numPr>
          <w:ilvl w:val="0"/>
          <w:numId w:val="0"/>
        </w:numPr>
        <w:ind w:left="720" w:hanging="360"/>
      </w:pPr>
    </w:p>
    <w:p w14:paraId="0DF4358D" w14:textId="6C09984E" w:rsidR="002478C0" w:rsidRDefault="002478C0" w:rsidP="002478C0">
      <w:pPr>
        <w:pStyle w:val="QRGNumbering1"/>
      </w:pPr>
      <w:r>
        <w:t xml:space="preserve">Once the required </w:t>
      </w:r>
      <w:r w:rsidR="00A2524E">
        <w:t>information</w:t>
      </w:r>
      <w:r>
        <w:t xml:space="preserve"> has been entered for the first </w:t>
      </w:r>
      <w:r w:rsidR="005D2E49">
        <w:t>section</w:t>
      </w:r>
      <w:r>
        <w:t xml:space="preserve">, select </w:t>
      </w:r>
      <w:r>
        <w:rPr>
          <w:noProof/>
          <w:lang w:eastAsia="en-AU"/>
        </w:rPr>
        <w:drawing>
          <wp:inline distT="0" distB="0" distL="0" distR="0" wp14:anchorId="7FBD830D" wp14:editId="245980B6">
            <wp:extent cx="550800" cy="180000"/>
            <wp:effectExtent l="19050" t="19050" r="20955" b="10795"/>
            <wp:docPr id="17" name="Picture 17"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5B67CE">
        <w:t xml:space="preserve"> at the bottom of the form</w:t>
      </w:r>
      <w:r>
        <w:t xml:space="preserve">. </w:t>
      </w:r>
    </w:p>
    <w:p w14:paraId="6CB71BD7" w14:textId="05B54DF6" w:rsidR="002478C0" w:rsidRDefault="005D2E49" w:rsidP="002478C0">
      <w:pPr>
        <w:pStyle w:val="QRGNumbering1"/>
        <w:numPr>
          <w:ilvl w:val="0"/>
          <w:numId w:val="0"/>
        </w:numPr>
        <w:ind w:left="360"/>
      </w:pPr>
      <w:r>
        <w:t>The simple completeness d</w:t>
      </w:r>
      <w:r w:rsidR="002478C0">
        <w:t>ata validation</w:t>
      </w:r>
      <w:r>
        <w:t>s</w:t>
      </w:r>
      <w:r w:rsidR="002478C0">
        <w:t xml:space="preserve"> will now run on the cells you have completed in the </w:t>
      </w:r>
      <w:r w:rsidR="007D6FD5">
        <w:t>first section of the form,</w:t>
      </w:r>
      <w:r w:rsidR="002478C0">
        <w:t xml:space="preserve"> and if </w:t>
      </w:r>
      <w:r w:rsidR="007D6FD5">
        <w:t xml:space="preserve">any of the </w:t>
      </w:r>
      <w:r w:rsidR="007D6FD5">
        <w:t>cells have been left blank</w:t>
      </w:r>
      <w:r w:rsidR="002478C0">
        <w:t xml:space="preserve">, </w:t>
      </w:r>
      <w:r w:rsidR="007D6FD5">
        <w:t xml:space="preserve">a </w:t>
      </w:r>
      <w:r w:rsidR="00877F51">
        <w:t xml:space="preserve">data validation </w:t>
      </w:r>
      <w:r w:rsidR="005B67CE">
        <w:t>flag</w:t>
      </w:r>
      <w:r w:rsidR="002478C0">
        <w:t xml:space="preserve"> will appear in the </w:t>
      </w:r>
      <w:r w:rsidR="002478C0" w:rsidRPr="009D2666">
        <w:rPr>
          <w:i/>
        </w:rPr>
        <w:t>Notifications Tray</w:t>
      </w:r>
      <w:r w:rsidR="002478C0">
        <w:t>.</w:t>
      </w:r>
    </w:p>
    <w:p w14:paraId="47B3FB18" w14:textId="07B291BD" w:rsidR="002478C0" w:rsidRDefault="002478C0" w:rsidP="002478C0">
      <w:pPr>
        <w:pStyle w:val="QRGNumbering1"/>
      </w:pPr>
      <w:r>
        <w:t xml:space="preserve">If </w:t>
      </w:r>
      <w:r w:rsidR="007D6FD5">
        <w:t xml:space="preserve">a </w:t>
      </w:r>
      <w:r w:rsidR="00877F51">
        <w:t xml:space="preserve">data </w:t>
      </w:r>
      <w:r>
        <w:t>validation flag ha</w:t>
      </w:r>
      <w:r w:rsidR="007D6FD5">
        <w:t>s</w:t>
      </w:r>
      <w:r>
        <w:t xml:space="preserve"> been generated</w:t>
      </w:r>
      <w:r w:rsidR="007D6FD5">
        <w:t xml:space="preserve">, </w:t>
      </w:r>
      <w:r w:rsidR="00362C0E">
        <w:t xml:space="preserve">you will need enter the required </w:t>
      </w:r>
      <w:r w:rsidR="0066600C">
        <w:t>information</w:t>
      </w:r>
      <w:r w:rsidR="00362C0E">
        <w:t xml:space="preserve"> in the applicable cell</w:t>
      </w:r>
      <w:r w:rsidR="003F50B2">
        <w:t>(s)</w:t>
      </w:r>
      <w:r w:rsidR="00362C0E">
        <w:t>.</w:t>
      </w:r>
    </w:p>
    <w:p w14:paraId="5F01A064" w14:textId="7D362BD4" w:rsidR="00362C0E" w:rsidRDefault="00362C0E" w:rsidP="00362C0E">
      <w:pPr>
        <w:pStyle w:val="QRGNumbering1"/>
        <w:numPr>
          <w:ilvl w:val="0"/>
          <w:numId w:val="0"/>
        </w:numPr>
        <w:ind w:left="360"/>
      </w:pPr>
      <w:r>
        <w:rPr>
          <w:noProof/>
        </w:rPr>
        <w:drawing>
          <wp:inline distT="0" distB="0" distL="0" distR="0" wp14:anchorId="5C72F5DE" wp14:editId="396E3343">
            <wp:extent cx="277200" cy="252000"/>
            <wp:effectExtent l="0" t="0" r="8890" b="0"/>
            <wp:docPr id="24" name="Picture 24"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If you are unsure which cell has been left blank, in the </w:t>
      </w:r>
      <w:r w:rsidRPr="00362C0E">
        <w:rPr>
          <w:i/>
          <w:iCs/>
        </w:rPr>
        <w:t>Notifications Tray,</w:t>
      </w:r>
      <w:r>
        <w:t xml:space="preserve"> hover your mouse pointer to the right of the data validation flag title, select </w:t>
      </w:r>
      <w:r>
        <w:rPr>
          <w:noProof/>
        </w:rPr>
        <w:drawing>
          <wp:inline distT="0" distB="0" distL="0" distR="0" wp14:anchorId="13D0EC13" wp14:editId="50FD61A1">
            <wp:extent cx="216000" cy="216000"/>
            <wp:effectExtent l="0" t="0" r="0" b="0"/>
            <wp:docPr id="25" name="Picture 25" title="the Ey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the Eye button"/>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and the applicable cell(s) will be highlighted in red.</w:t>
      </w:r>
    </w:p>
    <w:p w14:paraId="34A539D9" w14:textId="09273196" w:rsidR="0048216E" w:rsidRDefault="002478C0" w:rsidP="0008444F">
      <w:pPr>
        <w:pStyle w:val="QRGNumbering1"/>
        <w:numPr>
          <w:ilvl w:val="0"/>
          <w:numId w:val="0"/>
        </w:numPr>
        <w:ind w:left="360"/>
        <w:rPr>
          <w:b/>
        </w:rPr>
      </w:pPr>
      <w:r>
        <w:rPr>
          <w:noProof/>
          <w:lang w:eastAsia="en-AU"/>
        </w:rPr>
        <w:drawing>
          <wp:inline distT="0" distB="0" distL="0" distR="0" wp14:anchorId="18AB9638" wp14:editId="39778676">
            <wp:extent cx="277200" cy="252000"/>
            <wp:effectExtent l="0" t="0" r="8890" b="0"/>
            <wp:docPr id="483" name="Picture 483"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To open the </w:t>
      </w:r>
      <w:r w:rsidRPr="009D2666">
        <w:rPr>
          <w:i/>
        </w:rPr>
        <w:t xml:space="preserve">Notifications </w:t>
      </w:r>
      <w:r w:rsidR="00ED60CC" w:rsidRPr="009D2666">
        <w:rPr>
          <w:i/>
        </w:rPr>
        <w:t>Tray</w:t>
      </w:r>
      <w:r>
        <w:t xml:space="preserve"> if it doesn’t display</w:t>
      </w:r>
      <w:r w:rsidRPr="000C4831">
        <w:t>,</w:t>
      </w:r>
      <w:r>
        <w:rPr>
          <w:b/>
        </w:rPr>
        <w:t xml:space="preserve"> </w:t>
      </w:r>
      <w:r>
        <w:t xml:space="preserve">select </w:t>
      </w:r>
      <w:r>
        <w:rPr>
          <w:noProof/>
          <w:lang w:eastAsia="en-AU"/>
        </w:rPr>
        <w:drawing>
          <wp:inline distT="0" distB="0" distL="0" distR="0" wp14:anchorId="0AB63F74" wp14:editId="0CAD0907">
            <wp:extent cx="180000" cy="180000"/>
            <wp:effectExtent l="19050" t="19050" r="10795" b="10795"/>
            <wp:docPr id="21" name="Picture 21" descr="Open notifications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r>
        <w:t xml:space="preserve"> in the blue </w:t>
      </w:r>
      <w:r w:rsidRPr="005B67CE">
        <w:rPr>
          <w:i/>
        </w:rPr>
        <w:t>Submission Data</w:t>
      </w:r>
      <w:r>
        <w:t xml:space="preserve"> bar at the top of the </w:t>
      </w:r>
      <w:r w:rsidR="0036696F">
        <w:t>form</w:t>
      </w:r>
      <w:r>
        <w:t>.</w:t>
      </w:r>
    </w:p>
    <w:p w14:paraId="61FA2364" w14:textId="692826E6" w:rsidR="002478C0" w:rsidRDefault="002478C0" w:rsidP="00362C0E">
      <w:pPr>
        <w:pStyle w:val="QRGNumbering1"/>
      </w:pPr>
      <w:r>
        <w:t xml:space="preserve">To save the amendment and run data validation again, select </w:t>
      </w:r>
      <w:r>
        <w:rPr>
          <w:noProof/>
        </w:rPr>
        <w:drawing>
          <wp:inline distT="0" distB="0" distL="0" distR="0" wp14:anchorId="28F163CA" wp14:editId="4F8E1193">
            <wp:extent cx="550800" cy="180000"/>
            <wp:effectExtent l="19050" t="19050" r="20955" b="10795"/>
            <wp:docPr id="26" name="Picture 26"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5B67CE">
        <w:t xml:space="preserve"> at the bottom of the form</w:t>
      </w:r>
      <w:r>
        <w:t>.</w:t>
      </w:r>
    </w:p>
    <w:p w14:paraId="542CACC9" w14:textId="0D69FDA4" w:rsidR="002478C0" w:rsidRDefault="002478C0" w:rsidP="00362C0E">
      <w:pPr>
        <w:pStyle w:val="QRGNumbering1"/>
        <w:numPr>
          <w:ilvl w:val="0"/>
          <w:numId w:val="0"/>
        </w:numPr>
        <w:ind w:left="360"/>
      </w:pPr>
      <w:r w:rsidRPr="00FD6E04">
        <w:t xml:space="preserve">The data validation flag relating to the </w:t>
      </w:r>
      <w:r w:rsidR="007D6FD5">
        <w:t>cell you have just completed</w:t>
      </w:r>
      <w:r>
        <w:t xml:space="preserve"> should now have disappeared from the </w:t>
      </w:r>
      <w:r w:rsidRPr="00362C0E">
        <w:rPr>
          <w:i/>
          <w:iCs/>
        </w:rPr>
        <w:t xml:space="preserve">Notifications </w:t>
      </w:r>
      <w:r w:rsidR="009E3FDC" w:rsidRPr="00362C0E">
        <w:rPr>
          <w:i/>
          <w:iCs/>
        </w:rPr>
        <w:t>Tray</w:t>
      </w:r>
      <w:r>
        <w:t>.</w:t>
      </w:r>
    </w:p>
    <w:p w14:paraId="01E00389" w14:textId="5F7E4F72" w:rsidR="002478C0" w:rsidRDefault="002478C0" w:rsidP="002478C0">
      <w:pPr>
        <w:pStyle w:val="QRGNumbering1"/>
      </w:pPr>
      <w:r>
        <w:t xml:space="preserve">Repeat the above steps for each </w:t>
      </w:r>
      <w:r w:rsidR="00173713">
        <w:t>section</w:t>
      </w:r>
      <w:r>
        <w:t xml:space="preserve"> o</w:t>
      </w:r>
      <w:r w:rsidR="00173713">
        <w:t>f</w:t>
      </w:r>
      <w:r>
        <w:t xml:space="preserve"> the form as required.</w:t>
      </w:r>
    </w:p>
    <w:p w14:paraId="09F462CF" w14:textId="23EFA51A" w:rsidR="002478C0" w:rsidRDefault="002478C0" w:rsidP="002478C0">
      <w:pPr>
        <w:pStyle w:val="QRGNumbering1"/>
      </w:pPr>
      <w:r>
        <w:t xml:space="preserve">Once you have finished entering your </w:t>
      </w:r>
      <w:r w:rsidR="0066600C">
        <w:t>information</w:t>
      </w:r>
      <w:r>
        <w:t xml:space="preserve"> into the different </w:t>
      </w:r>
      <w:r w:rsidR="00173713">
        <w:t>sections</w:t>
      </w:r>
      <w:r>
        <w:t xml:space="preserve"> o</w:t>
      </w:r>
      <w:r w:rsidR="00173713">
        <w:t>f</w:t>
      </w:r>
      <w:r>
        <w:t xml:space="preserve"> the form and </w:t>
      </w:r>
      <w:r w:rsidR="0036696F">
        <w:t xml:space="preserve">have </w:t>
      </w:r>
      <w:r>
        <w:t xml:space="preserve">saved the </w:t>
      </w:r>
      <w:r w:rsidR="0066600C">
        <w:t>information</w:t>
      </w:r>
      <w:r>
        <w:t xml:space="preserve">, select </w:t>
      </w:r>
      <w:r>
        <w:rPr>
          <w:rStyle w:val="QRGNumbering2Char"/>
          <w:noProof/>
          <w:lang w:eastAsia="en-AU"/>
        </w:rPr>
        <w:drawing>
          <wp:inline distT="0" distB="0" distL="0" distR="0" wp14:anchorId="20EF5899" wp14:editId="1926AEB7">
            <wp:extent cx="604800" cy="180000"/>
            <wp:effectExtent l="19050" t="19050" r="24130" b="10795"/>
            <wp:docPr id="29" name="Picture 29"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t xml:space="preserve"> at the bottom of the form.</w:t>
      </w:r>
    </w:p>
    <w:p w14:paraId="7F7F4FFA" w14:textId="6A4E9C15" w:rsidR="00B90669" w:rsidRDefault="00B90669" w:rsidP="00B90669">
      <w:pPr>
        <w:pStyle w:val="QRGText"/>
      </w:pPr>
      <w:r>
        <w:t xml:space="preserve">The Data Portal </w:t>
      </w:r>
      <w:r w:rsidR="00951E20">
        <w:t>h</w:t>
      </w:r>
      <w:r>
        <w:t xml:space="preserve">ome screen will again display with the </w:t>
      </w:r>
      <w:r w:rsidRPr="00A2524E">
        <w:t>Reporting Dashboard</w:t>
      </w:r>
      <w:r>
        <w:t xml:space="preserve"> open.</w:t>
      </w:r>
    </w:p>
    <w:p w14:paraId="522C242B" w14:textId="35A0B0CF" w:rsidR="00F3122A" w:rsidRDefault="00F3122A" w:rsidP="00F3122A">
      <w:pPr>
        <w:pStyle w:val="QRGNumbering1"/>
        <w:rPr>
          <w:rStyle w:val="QRGNumbering2Char"/>
        </w:rPr>
      </w:pPr>
      <w:r w:rsidRPr="009C26A1">
        <w:rPr>
          <w:rStyle w:val="QRGNumbering2Char"/>
        </w:rPr>
        <w:t xml:space="preserve">Before progressing </w:t>
      </w:r>
      <w:r w:rsidR="002E33E3">
        <w:rPr>
          <w:rStyle w:val="QRGNumbering2Char"/>
        </w:rPr>
        <w:t>your</w:t>
      </w:r>
      <w:r w:rsidRPr="009C26A1">
        <w:rPr>
          <w:rStyle w:val="QRGNumbering2Char"/>
        </w:rPr>
        <w:t xml:space="preserve"> </w:t>
      </w:r>
      <w:r w:rsidR="0066600C">
        <w:rPr>
          <w:rStyle w:val="QRGNumbering2Char"/>
        </w:rPr>
        <w:t>IAHP PHC AWP</w:t>
      </w:r>
      <w:r w:rsidRPr="009C26A1">
        <w:rPr>
          <w:rStyle w:val="QRGNumbering2Char"/>
        </w:rPr>
        <w:t xml:space="preserve"> through the submission workflow, answer either </w:t>
      </w:r>
      <w:r w:rsidRPr="009C26A1">
        <w:rPr>
          <w:rStyle w:val="QRGNumbering2Char"/>
          <w:b/>
        </w:rPr>
        <w:t>Yes</w:t>
      </w:r>
      <w:r w:rsidRPr="009C26A1">
        <w:rPr>
          <w:rStyle w:val="QRGNumbering2Char"/>
        </w:rPr>
        <w:t xml:space="preserve"> or </w:t>
      </w:r>
      <w:r w:rsidRPr="009C26A1">
        <w:rPr>
          <w:rStyle w:val="QRGNumbering2Char"/>
          <w:b/>
        </w:rPr>
        <w:t xml:space="preserve">No </w:t>
      </w:r>
      <w:r w:rsidRPr="009C26A1">
        <w:rPr>
          <w:rStyle w:val="QRGNumbering2Char"/>
        </w:rPr>
        <w:t xml:space="preserve">to the </w:t>
      </w:r>
      <w:r w:rsidR="000E1C31">
        <w:rPr>
          <w:rStyle w:val="QRGNumbering2Char"/>
        </w:rPr>
        <w:t>data sharing c</w:t>
      </w:r>
      <w:r w:rsidRPr="000E1C31">
        <w:rPr>
          <w:rStyle w:val="QRGNumbering2Char"/>
        </w:rPr>
        <w:t>onsent</w:t>
      </w:r>
      <w:r w:rsidRPr="009C26A1">
        <w:rPr>
          <w:rStyle w:val="QRGNumbering2Char"/>
          <w:b/>
        </w:rPr>
        <w:t xml:space="preserve"> </w:t>
      </w:r>
      <w:r w:rsidRPr="009C26A1">
        <w:rPr>
          <w:rStyle w:val="QRGNumbering2Char"/>
        </w:rPr>
        <w:t>questions that display</w:t>
      </w:r>
      <w:r w:rsidR="000E1C31">
        <w:rPr>
          <w:rStyle w:val="QRGNumbering2Char"/>
        </w:rPr>
        <w:t xml:space="preserve"> under </w:t>
      </w:r>
      <w:r w:rsidR="000E1C31" w:rsidRPr="000E1C31">
        <w:rPr>
          <w:rStyle w:val="QRGNumbering2Char"/>
          <w:b/>
        </w:rPr>
        <w:t>Data Sharing</w:t>
      </w:r>
      <w:r w:rsidR="000E1C31">
        <w:rPr>
          <w:rStyle w:val="QRGNumbering2Char"/>
        </w:rPr>
        <w:t xml:space="preserve"> and then select </w:t>
      </w:r>
      <w:r w:rsidR="000E1C31">
        <w:rPr>
          <w:rStyle w:val="QRGNumbering2Char"/>
          <w:noProof/>
          <w:lang w:eastAsia="en-AU"/>
        </w:rPr>
        <w:drawing>
          <wp:inline distT="0" distB="0" distL="0" distR="0" wp14:anchorId="7C0960BE" wp14:editId="0ED1570E">
            <wp:extent cx="439200" cy="180000"/>
            <wp:effectExtent l="19050" t="19050" r="18415" b="10795"/>
            <wp:docPr id="13" name="Picture 13"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200" cy="180000"/>
                    </a:xfrm>
                    <a:prstGeom prst="rect">
                      <a:avLst/>
                    </a:prstGeom>
                    <a:noFill/>
                    <a:ln>
                      <a:solidFill>
                        <a:schemeClr val="tx1"/>
                      </a:solidFill>
                    </a:ln>
                  </pic:spPr>
                </pic:pic>
              </a:graphicData>
            </a:graphic>
          </wp:inline>
        </w:drawing>
      </w:r>
      <w:r w:rsidR="000E1C31">
        <w:rPr>
          <w:rStyle w:val="QRGNumbering2Char"/>
        </w:rPr>
        <w:t>.</w:t>
      </w:r>
    </w:p>
    <w:p w14:paraId="02746802" w14:textId="292DAD2E" w:rsidR="00B90669" w:rsidRPr="00B90669" w:rsidRDefault="00B90669" w:rsidP="00B90669">
      <w:pPr>
        <w:pStyle w:val="QRGNumbering1"/>
      </w:pPr>
      <w:r w:rsidRPr="00B90669">
        <w:t xml:space="preserve">To progress </w:t>
      </w:r>
      <w:r w:rsidR="0066600C">
        <w:t>your</w:t>
      </w:r>
      <w:r w:rsidRPr="00B90669">
        <w:t xml:space="preserve"> </w:t>
      </w:r>
      <w:r w:rsidR="004A7B40" w:rsidRPr="0066600C">
        <w:t>AWP</w:t>
      </w:r>
      <w:r w:rsidR="004A7B40">
        <w:rPr>
          <w:i/>
          <w:iCs/>
        </w:rPr>
        <w:t xml:space="preserve"> </w:t>
      </w:r>
      <w:r w:rsidR="00AD7E61">
        <w:t xml:space="preserve">through the </w:t>
      </w:r>
      <w:r w:rsidR="0036696F">
        <w:t xml:space="preserve">submission </w:t>
      </w:r>
      <w:r w:rsidR="00AD7E61">
        <w:t>workflow</w:t>
      </w:r>
      <w:r w:rsidRPr="00B90669">
        <w:t xml:space="preserve">, select </w:t>
      </w:r>
      <w:r w:rsidRPr="00B90669">
        <w:rPr>
          <w:noProof/>
          <w:lang w:eastAsia="en-AU"/>
        </w:rPr>
        <w:drawing>
          <wp:inline distT="0" distB="0" distL="0" distR="0" wp14:anchorId="10057BA5" wp14:editId="3D652E53">
            <wp:extent cx="1276350" cy="152400"/>
            <wp:effectExtent l="0" t="0" r="0" b="0"/>
            <wp:docPr id="7" name="Picture 7" title="the Draft Submiss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a:ln>
                      <a:noFill/>
                    </a:ln>
                  </pic:spPr>
                </pic:pic>
              </a:graphicData>
            </a:graphic>
          </wp:inline>
        </w:drawing>
      </w:r>
      <w:r w:rsidR="000A5BD2">
        <w:t>.</w:t>
      </w:r>
    </w:p>
    <w:p w14:paraId="192DC3D1" w14:textId="77777777" w:rsidR="001B2AA9" w:rsidRDefault="001B2AA9" w:rsidP="005C3B6F">
      <w:pPr>
        <w:pStyle w:val="QRGText"/>
      </w:pPr>
    </w:p>
    <w:p w14:paraId="107A8D8A" w14:textId="77777777" w:rsidR="001B2AA9" w:rsidRDefault="001B2AA9" w:rsidP="005C3B6F">
      <w:pPr>
        <w:pStyle w:val="QRGText"/>
      </w:pPr>
    </w:p>
    <w:p w14:paraId="06B47317" w14:textId="77777777" w:rsidR="001B2AA9" w:rsidRDefault="001B2AA9" w:rsidP="005C3B6F">
      <w:pPr>
        <w:pStyle w:val="QRGText"/>
      </w:pPr>
    </w:p>
    <w:p w14:paraId="20766989" w14:textId="77777777" w:rsidR="001B2AA9" w:rsidRDefault="001B2AA9" w:rsidP="005C3B6F">
      <w:pPr>
        <w:pStyle w:val="QRGText"/>
      </w:pPr>
    </w:p>
    <w:p w14:paraId="24F7DC18" w14:textId="77777777" w:rsidR="001B2AA9" w:rsidRDefault="001B2AA9" w:rsidP="005C3B6F">
      <w:pPr>
        <w:pStyle w:val="QRGText"/>
      </w:pPr>
    </w:p>
    <w:p w14:paraId="06DBFEF9" w14:textId="77777777" w:rsidR="001B2AA9" w:rsidRDefault="001B2AA9" w:rsidP="005C3B6F">
      <w:pPr>
        <w:pStyle w:val="QRGText"/>
      </w:pPr>
    </w:p>
    <w:p w14:paraId="384D64A7" w14:textId="77777777" w:rsidR="001B2AA9" w:rsidRDefault="001B2AA9" w:rsidP="005C3B6F">
      <w:pPr>
        <w:pStyle w:val="QRGText"/>
      </w:pPr>
    </w:p>
    <w:p w14:paraId="46C6B4CC" w14:textId="3F2084DF" w:rsidR="005C3B6F" w:rsidRDefault="005C3B6F" w:rsidP="005C3B6F">
      <w:pPr>
        <w:pStyle w:val="QRGText"/>
      </w:pPr>
      <w:r>
        <w:lastRenderedPageBreak/>
        <w:t>The Change Data Asset</w:t>
      </w:r>
      <w:r w:rsidR="000E1C31">
        <w:t xml:space="preserve"> Status dialog box will display.</w:t>
      </w:r>
    </w:p>
    <w:p w14:paraId="5012C60F" w14:textId="4591E0D9" w:rsidR="00EB6123" w:rsidRDefault="00D91DE1" w:rsidP="00EB6123">
      <w:pPr>
        <w:pStyle w:val="QRGPictureCentre"/>
      </w:pPr>
      <w:r>
        <w:drawing>
          <wp:inline distT="0" distB="0" distL="0" distR="0" wp14:anchorId="7E15D707" wp14:editId="1F2DC1FB">
            <wp:extent cx="3105150" cy="1524000"/>
            <wp:effectExtent l="19050" t="19050" r="19050" b="19050"/>
            <wp:docPr id="11" name="Picture 11" descr="picture of the Data Asset Status Chang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of the Data Asset Status Change dialog b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solidFill>
                        <a:schemeClr val="tx1"/>
                      </a:solidFill>
                    </a:ln>
                  </pic:spPr>
                </pic:pic>
              </a:graphicData>
            </a:graphic>
          </wp:inline>
        </w:drawing>
      </w:r>
    </w:p>
    <w:p w14:paraId="7B451705" w14:textId="77777777" w:rsidR="00F2513D" w:rsidRDefault="00F2513D" w:rsidP="00F2513D">
      <w:pPr>
        <w:pStyle w:val="QRGNumbering1"/>
        <w:rPr>
          <w:noProof/>
          <w:lang w:eastAsia="en-AU"/>
        </w:rPr>
      </w:pPr>
      <w:r>
        <w:rPr>
          <w:noProof/>
          <w:lang w:eastAsia="en-AU"/>
        </w:rPr>
        <w:t xml:space="preserve">In the </w:t>
      </w:r>
      <w:r>
        <w:rPr>
          <w:b/>
          <w:noProof/>
          <w:lang w:eastAsia="en-AU"/>
        </w:rPr>
        <w:t>Action</w:t>
      </w:r>
      <w:r>
        <w:rPr>
          <w:noProof/>
          <w:lang w:eastAsia="en-AU"/>
        </w:rPr>
        <w:t xml:space="preserve"> field, select </w:t>
      </w:r>
      <w:r w:rsidR="00B90669">
        <w:rPr>
          <w:noProof/>
          <w:lang w:eastAsia="en-AU"/>
        </w:rPr>
        <w:drawing>
          <wp:inline distT="0" distB="0" distL="0" distR="0" wp14:anchorId="0BCA4228" wp14:editId="6958A051">
            <wp:extent cx="169200" cy="126000"/>
            <wp:effectExtent l="19050" t="19050" r="21590" b="26670"/>
            <wp:docPr id="9" name="Picture 9"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the appropriate action.</w:t>
      </w:r>
    </w:p>
    <w:p w14:paraId="3F214C76" w14:textId="77777777" w:rsidR="001B2AA9" w:rsidRDefault="001B2AA9" w:rsidP="00EB6123">
      <w:pPr>
        <w:pStyle w:val="QRGText"/>
      </w:pPr>
    </w:p>
    <w:p w14:paraId="24911866" w14:textId="4C10E4AB" w:rsidR="006A0022" w:rsidRDefault="006A0022" w:rsidP="00EB6123">
      <w:pPr>
        <w:pStyle w:val="QRGText"/>
      </w:pPr>
      <w:r>
        <w:t>The available actions are:</w:t>
      </w:r>
    </w:p>
    <w:p w14:paraId="6D61C503" w14:textId="657E374C" w:rsidR="000F79E1" w:rsidRDefault="000F79E1" w:rsidP="000F79E1">
      <w:pPr>
        <w:pStyle w:val="QRGBullet1"/>
        <w:numPr>
          <w:ilvl w:val="0"/>
          <w:numId w:val="20"/>
        </w:numPr>
      </w:pPr>
      <w:r>
        <w:rPr>
          <w:b/>
        </w:rPr>
        <w:t>Request Review</w:t>
      </w:r>
      <w:r>
        <w:t xml:space="preserve"> – Select this action to send </w:t>
      </w:r>
      <w:r w:rsidR="0066600C">
        <w:t xml:space="preserve">your AWP </w:t>
      </w:r>
      <w:r>
        <w:t xml:space="preserve">to </w:t>
      </w:r>
      <w:r w:rsidR="00A2524E">
        <w:t xml:space="preserve">your </w:t>
      </w:r>
      <w:r w:rsidR="00A2524E" w:rsidRPr="00A2524E">
        <w:rPr>
          <w:i/>
          <w:iCs/>
        </w:rPr>
        <w:t>Submission</w:t>
      </w:r>
      <w:r w:rsidR="00A2524E">
        <w:t xml:space="preserve"> </w:t>
      </w:r>
      <w:r w:rsidR="00A2524E" w:rsidRPr="00A2524E">
        <w:rPr>
          <w:i/>
          <w:iCs/>
        </w:rPr>
        <w:t>Reviewer</w:t>
      </w:r>
      <w:r w:rsidR="00A2524E">
        <w:t xml:space="preserve"> </w:t>
      </w:r>
      <w:r>
        <w:t xml:space="preserve">review prior to it being submitted for approval. </w:t>
      </w:r>
    </w:p>
    <w:p w14:paraId="5ACFFAA0" w14:textId="65447F6E" w:rsidR="007D7428" w:rsidRDefault="007D7428" w:rsidP="007D7428">
      <w:pPr>
        <w:pStyle w:val="QRGBullet1"/>
        <w:numPr>
          <w:ilvl w:val="0"/>
          <w:numId w:val="20"/>
        </w:numPr>
      </w:pPr>
      <w:r>
        <w:rPr>
          <w:b/>
        </w:rPr>
        <w:t xml:space="preserve">Request Approval </w:t>
      </w:r>
      <w:r>
        <w:t xml:space="preserve">– Select this action to send </w:t>
      </w:r>
      <w:r w:rsidR="0066600C">
        <w:t>your AWP</w:t>
      </w:r>
      <w:r>
        <w:t xml:space="preserve"> to your CEO or their representative for internal approval.</w:t>
      </w:r>
    </w:p>
    <w:p w14:paraId="77CEB3BF" w14:textId="0C4215E1" w:rsidR="000E1C31" w:rsidRPr="002648DC" w:rsidRDefault="000E1C31" w:rsidP="000E1C31">
      <w:pPr>
        <w:pStyle w:val="QRGBullet1"/>
        <w:rPr>
          <w:b/>
        </w:rPr>
      </w:pPr>
      <w:r w:rsidRPr="00876FC5">
        <w:rPr>
          <w:b/>
        </w:rPr>
        <w:t>Request Interim Processing</w:t>
      </w:r>
      <w:r w:rsidRPr="002648DC">
        <w:rPr>
          <w:b/>
        </w:rPr>
        <w:t xml:space="preserve"> – </w:t>
      </w:r>
      <w:r w:rsidRPr="002648DC">
        <w:t xml:space="preserve">If you are a </w:t>
      </w:r>
      <w:r w:rsidR="00E77524" w:rsidRPr="00E77524">
        <w:rPr>
          <w:i/>
          <w:iCs/>
        </w:rPr>
        <w:t>Submission</w:t>
      </w:r>
      <w:r w:rsidR="00E77524">
        <w:t xml:space="preserve"> </w:t>
      </w:r>
      <w:r w:rsidRPr="003D3444">
        <w:rPr>
          <w:i/>
        </w:rPr>
        <w:t>Reviewer</w:t>
      </w:r>
      <w:r w:rsidRPr="002648DC">
        <w:t xml:space="preserve"> as well as </w:t>
      </w:r>
      <w:r>
        <w:t xml:space="preserve">a </w:t>
      </w:r>
      <w:r w:rsidRPr="003D3444">
        <w:rPr>
          <w:i/>
        </w:rPr>
        <w:t>Submission</w:t>
      </w:r>
      <w:r>
        <w:t xml:space="preserve"> </w:t>
      </w:r>
      <w:r w:rsidRPr="003D3444">
        <w:rPr>
          <w:i/>
        </w:rPr>
        <w:t>Uploader</w:t>
      </w:r>
      <w:r>
        <w:t>, you can s</w:t>
      </w:r>
      <w:r w:rsidRPr="002648DC">
        <w:t xml:space="preserve">elect this action to send </w:t>
      </w:r>
      <w:r w:rsidR="0066600C">
        <w:t>your AWP</w:t>
      </w:r>
      <w:r w:rsidRPr="002648DC">
        <w:t xml:space="preserve"> to </w:t>
      </w:r>
      <w:r w:rsidR="00A2524E">
        <w:t>your</w:t>
      </w:r>
      <w:r w:rsidRPr="002648DC">
        <w:t xml:space="preserve"> </w:t>
      </w:r>
      <w:r w:rsidR="00173713">
        <w:t>DSS FAM</w:t>
      </w:r>
      <w:r w:rsidRPr="002648DC">
        <w:t xml:space="preserve"> for review prior to it going to your CEO or their representative for approval. This process is known as </w:t>
      </w:r>
      <w:r w:rsidRPr="002648DC">
        <w:rPr>
          <w:i/>
        </w:rPr>
        <w:t>Interim Processing</w:t>
      </w:r>
      <w:r w:rsidRPr="002648DC">
        <w:t>.</w:t>
      </w:r>
    </w:p>
    <w:p w14:paraId="4FD2AE9B" w14:textId="1C05074A" w:rsidR="007F697B" w:rsidRDefault="008F79F3" w:rsidP="007F697B">
      <w:pPr>
        <w:pStyle w:val="QRGText"/>
      </w:pPr>
      <w:r>
        <w:rPr>
          <w:noProof/>
          <w:lang w:eastAsia="en-AU"/>
        </w:rPr>
        <w:drawing>
          <wp:inline distT="0" distB="0" distL="0" distR="0" wp14:anchorId="080B2E94" wp14:editId="2BBD7B3E">
            <wp:extent cx="277200" cy="252000"/>
            <wp:effectExtent l="0" t="0" r="8890" b="0"/>
            <wp:docPr id="492" name="Picture 492"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rsidR="007F697B">
        <w:t xml:space="preserve"> If you </w:t>
      </w:r>
      <w:r w:rsidR="0036619E">
        <w:t>can</w:t>
      </w:r>
      <w:r w:rsidR="007F697B">
        <w:t xml:space="preserve"> approve </w:t>
      </w:r>
      <w:r w:rsidR="0066600C">
        <w:t>the AWP</w:t>
      </w:r>
      <w:r w:rsidR="007F5E39">
        <w:t xml:space="preserve"> </w:t>
      </w:r>
      <w:r w:rsidR="00F85E77">
        <w:t>yourself</w:t>
      </w:r>
      <w:r w:rsidR="007F697B">
        <w:t xml:space="preserve">, you will </w:t>
      </w:r>
      <w:r w:rsidR="00FD6E04">
        <w:t xml:space="preserve">also </w:t>
      </w:r>
      <w:r w:rsidR="007F697B">
        <w:t xml:space="preserve">see the </w:t>
      </w:r>
      <w:r w:rsidR="007F697B" w:rsidRPr="00C175F1">
        <w:rPr>
          <w:i/>
        </w:rPr>
        <w:t>Approve for Submission</w:t>
      </w:r>
      <w:r w:rsidR="007F697B">
        <w:t xml:space="preserve"> option in the </w:t>
      </w:r>
      <w:r w:rsidR="00B73D21" w:rsidRPr="00C175F1">
        <w:rPr>
          <w:i/>
        </w:rPr>
        <w:t>Action</w:t>
      </w:r>
      <w:r w:rsidR="007F697B">
        <w:t xml:space="preserve"> list. This allows you to approve the </w:t>
      </w:r>
      <w:r w:rsidR="007F5E39">
        <w:t>AWP</w:t>
      </w:r>
      <w:r w:rsidR="007F697B">
        <w:t xml:space="preserve"> and submit it directly to </w:t>
      </w:r>
      <w:r w:rsidR="00173713">
        <w:t xml:space="preserve">your DSS FAM </w:t>
      </w:r>
      <w:r w:rsidR="007F697B">
        <w:t>for processing.</w:t>
      </w:r>
    </w:p>
    <w:p w14:paraId="608152D6" w14:textId="0D5CDF1C" w:rsidR="0054201C" w:rsidRDefault="0054201C" w:rsidP="0054201C">
      <w:pPr>
        <w:pStyle w:val="QRGNumbering1"/>
      </w:pPr>
      <w:r>
        <w:t xml:space="preserve">In the </w:t>
      </w:r>
      <w:r>
        <w:rPr>
          <w:b/>
        </w:rPr>
        <w:t>Comment</w:t>
      </w:r>
      <w:r>
        <w:t xml:space="preserve"> field, enter any comments regarding the action be</w:t>
      </w:r>
      <w:r w:rsidR="00877F51">
        <w:t xml:space="preserve">ing </w:t>
      </w:r>
      <w:r>
        <w:t xml:space="preserve">performed on the </w:t>
      </w:r>
      <w:r w:rsidR="007F5E39">
        <w:t>AWP</w:t>
      </w:r>
      <w:r>
        <w:t>.</w:t>
      </w:r>
      <w:r w:rsidR="0071030A">
        <w:t xml:space="preserve"> </w:t>
      </w:r>
    </w:p>
    <w:p w14:paraId="5C53D679" w14:textId="3257FB7A" w:rsidR="00EE0CDA" w:rsidRDefault="00EE0CDA" w:rsidP="00DE622A">
      <w:pPr>
        <w:pStyle w:val="QRGNumbering1"/>
      </w:pPr>
      <w:r>
        <w:t xml:space="preserve">One of the following </w:t>
      </w:r>
      <w:r w:rsidR="00FD6E04">
        <w:t>buttons</w:t>
      </w:r>
      <w:r>
        <w:t xml:space="preserve"> can now be selected when submitting </w:t>
      </w:r>
      <w:r w:rsidR="00A2524E">
        <w:t>your</w:t>
      </w:r>
      <w:r>
        <w:t xml:space="preserve"> </w:t>
      </w:r>
      <w:r w:rsidR="0066600C">
        <w:t xml:space="preserve">IAHP PHC </w:t>
      </w:r>
      <w:r w:rsidR="007F5E39">
        <w:t>AWP</w:t>
      </w:r>
      <w:r>
        <w:t>, depending on the action you have selected:</w:t>
      </w:r>
    </w:p>
    <w:p w14:paraId="1757CE08" w14:textId="03AA20C9" w:rsidR="00EE0CDA" w:rsidRDefault="00EE0CDA" w:rsidP="00EE0CDA">
      <w:pPr>
        <w:pStyle w:val="QRGNumbering2"/>
      </w:pPr>
      <w:r>
        <w:t xml:space="preserve">To send </w:t>
      </w:r>
      <w:r w:rsidR="00A2524E">
        <w:t>your</w:t>
      </w:r>
      <w:r>
        <w:t xml:space="preserve"> </w:t>
      </w:r>
      <w:r w:rsidR="007F5E39">
        <w:t>AWP</w:t>
      </w:r>
      <w:r>
        <w:t xml:space="preserve"> for </w:t>
      </w:r>
      <w:r w:rsidR="007D7428">
        <w:t xml:space="preserve">internal </w:t>
      </w:r>
      <w:r>
        <w:t xml:space="preserve">review, select </w:t>
      </w:r>
      <w:r w:rsidR="008E4637">
        <w:rPr>
          <w:noProof/>
          <w:lang w:eastAsia="en-AU"/>
        </w:rPr>
        <w:drawing>
          <wp:inline distT="0" distB="0" distL="0" distR="0" wp14:anchorId="4FCFE573" wp14:editId="75A25C7E">
            <wp:extent cx="885600" cy="180000"/>
            <wp:effectExtent l="19050" t="19050" r="10160" b="10795"/>
            <wp:docPr id="356" name="Picture 356" title="the Request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5600" cy="180000"/>
                    </a:xfrm>
                    <a:prstGeom prst="rect">
                      <a:avLst/>
                    </a:prstGeom>
                    <a:noFill/>
                    <a:ln>
                      <a:solidFill>
                        <a:schemeClr val="tx1"/>
                      </a:solidFill>
                    </a:ln>
                  </pic:spPr>
                </pic:pic>
              </a:graphicData>
            </a:graphic>
          </wp:inline>
        </w:drawing>
      </w:r>
      <w:r>
        <w:t xml:space="preserve">. See the </w:t>
      </w:r>
      <w:r w:rsidRPr="00541892">
        <w:rPr>
          <w:i/>
        </w:rPr>
        <w:t xml:space="preserve">Review </w:t>
      </w:r>
      <w:r w:rsidR="00A2524E">
        <w:rPr>
          <w:i/>
        </w:rPr>
        <w:t>your</w:t>
      </w:r>
      <w:r w:rsidR="003B20CA">
        <w:rPr>
          <w:i/>
        </w:rPr>
        <w:t xml:space="preserve"> </w:t>
      </w:r>
      <w:r w:rsidR="00123B17">
        <w:rPr>
          <w:i/>
        </w:rPr>
        <w:t>IAHP PHC</w:t>
      </w:r>
      <w:r w:rsidR="00C53CBD">
        <w:rPr>
          <w:i/>
        </w:rPr>
        <w:t xml:space="preserve"> </w:t>
      </w:r>
      <w:r w:rsidR="00123B17">
        <w:rPr>
          <w:i/>
        </w:rPr>
        <w:t>AW</w:t>
      </w:r>
      <w:r w:rsidR="00A2524E">
        <w:rPr>
          <w:i/>
        </w:rPr>
        <w:t>P (Submission Reviewer)</w:t>
      </w:r>
      <w:r>
        <w:rPr>
          <w:i/>
        </w:rPr>
        <w:t xml:space="preserve"> </w:t>
      </w:r>
      <w:r>
        <w:t>QRG for the next step in the process.</w:t>
      </w:r>
    </w:p>
    <w:p w14:paraId="1E87B5DE" w14:textId="76406186" w:rsidR="00EE0CDA" w:rsidRDefault="00EE0CDA" w:rsidP="00EE0CDA">
      <w:pPr>
        <w:pStyle w:val="QRGNumbering2"/>
      </w:pPr>
      <w:r>
        <w:t xml:space="preserve">To submit </w:t>
      </w:r>
      <w:r w:rsidR="00A2524E">
        <w:t>your</w:t>
      </w:r>
      <w:r>
        <w:t xml:space="preserve"> </w:t>
      </w:r>
      <w:r w:rsidR="007F5E39">
        <w:t>AWP</w:t>
      </w:r>
      <w:r>
        <w:t xml:space="preserve"> </w:t>
      </w:r>
      <w:r w:rsidR="007D7428">
        <w:t xml:space="preserve">directly </w:t>
      </w:r>
      <w:r>
        <w:t>for approval</w:t>
      </w:r>
      <w:r w:rsidR="007D7428">
        <w:t xml:space="preserve"> to your CEO or their </w:t>
      </w:r>
      <w:r w:rsidR="007D7428">
        <w:t>representative</w:t>
      </w:r>
      <w:r>
        <w:t xml:space="preserve">, select </w:t>
      </w:r>
      <w:r w:rsidR="008E4637">
        <w:t xml:space="preserve"> </w:t>
      </w:r>
      <w:r w:rsidR="008E4637">
        <w:rPr>
          <w:noProof/>
          <w:lang w:eastAsia="en-AU"/>
        </w:rPr>
        <w:drawing>
          <wp:inline distT="0" distB="0" distL="0" distR="0" wp14:anchorId="70C3474E" wp14:editId="0E936D28">
            <wp:extent cx="950400" cy="180000"/>
            <wp:effectExtent l="19050" t="19050" r="21590" b="10795"/>
            <wp:docPr id="365" name="Picture 365" title="th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0400" cy="180000"/>
                    </a:xfrm>
                    <a:prstGeom prst="rect">
                      <a:avLst/>
                    </a:prstGeom>
                    <a:noFill/>
                    <a:ln>
                      <a:solidFill>
                        <a:schemeClr val="tx1"/>
                      </a:solidFill>
                    </a:ln>
                  </pic:spPr>
                </pic:pic>
              </a:graphicData>
            </a:graphic>
          </wp:inline>
        </w:drawing>
      </w:r>
      <w:r>
        <w:t xml:space="preserve">. See the </w:t>
      </w:r>
      <w:r w:rsidRPr="00624F06">
        <w:rPr>
          <w:i/>
        </w:rPr>
        <w:t xml:space="preserve">Approve </w:t>
      </w:r>
      <w:r w:rsidR="00A2524E">
        <w:rPr>
          <w:i/>
        </w:rPr>
        <w:t>your</w:t>
      </w:r>
      <w:r w:rsidR="003B20CA">
        <w:rPr>
          <w:i/>
        </w:rPr>
        <w:t xml:space="preserve"> </w:t>
      </w:r>
      <w:r w:rsidR="00123B17">
        <w:rPr>
          <w:i/>
        </w:rPr>
        <w:t>IAHP PHC AWP</w:t>
      </w:r>
      <w:r w:rsidR="00A2524E">
        <w:rPr>
          <w:i/>
        </w:rPr>
        <w:t xml:space="preserve"> (Submission Approver)</w:t>
      </w:r>
      <w:r w:rsidR="00123B17">
        <w:rPr>
          <w:i/>
        </w:rPr>
        <w:t xml:space="preserve"> </w:t>
      </w:r>
      <w:r>
        <w:t>QRG for the next step in the process.</w:t>
      </w:r>
    </w:p>
    <w:p w14:paraId="5758B886" w14:textId="5A67C121" w:rsidR="004D6A39" w:rsidRDefault="00A2524E" w:rsidP="00EE0CDA">
      <w:pPr>
        <w:pStyle w:val="QRGText"/>
      </w:pPr>
      <w:r>
        <w:t>Your</w:t>
      </w:r>
      <w:r w:rsidR="00EE0CDA">
        <w:t xml:space="preserve"> </w:t>
      </w:r>
      <w:r w:rsidR="0066600C">
        <w:t xml:space="preserve">IAHP PHC </w:t>
      </w:r>
      <w:r w:rsidR="007F5E39">
        <w:t>AWP</w:t>
      </w:r>
      <w:r w:rsidR="00EE0CDA">
        <w:t xml:space="preserve"> has now been </w:t>
      </w:r>
      <w:r w:rsidR="001C1D64">
        <w:t>created</w:t>
      </w:r>
      <w:r w:rsidR="00EE0CDA">
        <w:t xml:space="preserve"> and submitted to </w:t>
      </w:r>
      <w:r w:rsidR="004D6A39">
        <w:t xml:space="preserve">either </w:t>
      </w:r>
      <w:r>
        <w:t>your</w:t>
      </w:r>
      <w:r w:rsidR="004D6A39">
        <w:t xml:space="preserve"> </w:t>
      </w:r>
      <w:r w:rsidR="004D6A39" w:rsidRPr="004D6A39">
        <w:rPr>
          <w:i/>
        </w:rPr>
        <w:t xml:space="preserve">Submission Reviewer </w:t>
      </w:r>
      <w:r w:rsidR="004D6A39">
        <w:t xml:space="preserve">for review or </w:t>
      </w:r>
      <w:r w:rsidR="0054201C">
        <w:t>your</w:t>
      </w:r>
      <w:r w:rsidR="004D6A39">
        <w:t xml:space="preserve"> CEO or their representative for approval</w:t>
      </w:r>
      <w:r w:rsidR="00EE0CDA">
        <w:t xml:space="preserve">. </w:t>
      </w:r>
    </w:p>
    <w:p w14:paraId="01ABD356" w14:textId="04FC159E" w:rsidR="000F79E1" w:rsidRDefault="000F79E1" w:rsidP="000F79E1">
      <w:pPr>
        <w:pStyle w:val="QRGText"/>
      </w:pPr>
      <w:r>
        <w:t xml:space="preserve">An automated email will be sent to all </w:t>
      </w:r>
      <w:r w:rsidR="00A2524E">
        <w:t>users</w:t>
      </w:r>
      <w:r>
        <w:t xml:space="preserve"> within your </w:t>
      </w:r>
      <w:r w:rsidR="000C5A20">
        <w:t>h</w:t>
      </w:r>
      <w:r>
        <w:t xml:space="preserve">ealth </w:t>
      </w:r>
      <w:r w:rsidR="000C5A20">
        <w:t>s</w:t>
      </w:r>
      <w:r>
        <w:t xml:space="preserve">ervice that have been assigned the applicable role in the </w:t>
      </w:r>
      <w:r w:rsidR="00AC5540">
        <w:t xml:space="preserve">Data </w:t>
      </w:r>
      <w:r>
        <w:t>Portal (</w:t>
      </w:r>
      <w:r w:rsidR="006B35EA">
        <w:rPr>
          <w:i/>
        </w:rPr>
        <w:t xml:space="preserve">Submission </w:t>
      </w:r>
      <w:r w:rsidR="00FD6E04" w:rsidRPr="005B67CE">
        <w:rPr>
          <w:i/>
        </w:rPr>
        <w:t>Reviewer</w:t>
      </w:r>
      <w:r w:rsidR="00FD6E04">
        <w:t xml:space="preserve"> or </w:t>
      </w:r>
      <w:r w:rsidR="006B35EA">
        <w:rPr>
          <w:i/>
        </w:rPr>
        <w:t xml:space="preserve">Submission </w:t>
      </w:r>
      <w:r w:rsidR="00FD6E04" w:rsidRPr="005B67CE">
        <w:rPr>
          <w:i/>
        </w:rPr>
        <w:t>A</w:t>
      </w:r>
      <w:r w:rsidRPr="005B67CE">
        <w:rPr>
          <w:i/>
        </w:rPr>
        <w:t>pprover</w:t>
      </w:r>
      <w:r>
        <w:t xml:space="preserve">) notifying them </w:t>
      </w:r>
      <w:r w:rsidR="00A2524E">
        <w:t>your</w:t>
      </w:r>
      <w:r>
        <w:t xml:space="preserve"> </w:t>
      </w:r>
      <w:r w:rsidR="007F5E39">
        <w:t>AWP</w:t>
      </w:r>
      <w:r>
        <w:t xml:space="preserve"> has been submitted to them for action.</w:t>
      </w:r>
    </w:p>
    <w:p w14:paraId="37D737E0" w14:textId="50FF2F75" w:rsidR="00EB6123" w:rsidRDefault="00EB6123" w:rsidP="00EB6123">
      <w:pPr>
        <w:pStyle w:val="QRGText"/>
      </w:pPr>
      <w:r w:rsidRPr="00F00AF0">
        <w:rPr>
          <w:noProof/>
          <w:lang w:eastAsia="en-AU"/>
        </w:rPr>
        <w:drawing>
          <wp:inline distT="0" distB="0" distL="0" distR="0" wp14:anchorId="48CF47B6" wp14:editId="4FC09FC0">
            <wp:extent cx="252000" cy="252000"/>
            <wp:effectExtent l="0" t="0" r="0" b="0"/>
            <wp:docPr id="18" name="Picture 1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For a more detailed description of how to submit </w:t>
      </w:r>
      <w:r w:rsidR="004A7B40">
        <w:t xml:space="preserve">your </w:t>
      </w:r>
      <w:r w:rsidR="00123B17">
        <w:t xml:space="preserve">IAHP PHC </w:t>
      </w:r>
      <w:r w:rsidR="004A7B40">
        <w:t>AWP through</w:t>
      </w:r>
      <w:r>
        <w:t xml:space="preserve"> the </w:t>
      </w:r>
      <w:r w:rsidR="00AC5540">
        <w:t xml:space="preserve">Data </w:t>
      </w:r>
      <w:r>
        <w:t xml:space="preserve">Portal, see </w:t>
      </w:r>
      <w:r w:rsidRPr="001C3238">
        <w:rPr>
          <w:i/>
        </w:rPr>
        <w:t xml:space="preserve">Submit </w:t>
      </w:r>
      <w:r w:rsidR="004A7B40">
        <w:rPr>
          <w:i/>
        </w:rPr>
        <w:t xml:space="preserve">your </w:t>
      </w:r>
      <w:r w:rsidR="00123B17">
        <w:rPr>
          <w:i/>
        </w:rPr>
        <w:t xml:space="preserve">IAHP PHC </w:t>
      </w:r>
      <w:r w:rsidR="004A7B40">
        <w:rPr>
          <w:i/>
        </w:rPr>
        <w:t>Activity Work Plan (AWP)</w:t>
      </w:r>
      <w:r w:rsidRPr="001C3238">
        <w:rPr>
          <w:i/>
        </w:rPr>
        <w:t xml:space="preserve"> </w:t>
      </w:r>
      <w:r w:rsidRPr="001C3238">
        <w:t>in the</w:t>
      </w:r>
      <w:r>
        <w:rPr>
          <w:i/>
        </w:rPr>
        <w:t xml:space="preserve"> </w:t>
      </w:r>
      <w:r w:rsidR="00123B17">
        <w:rPr>
          <w:i/>
        </w:rPr>
        <w:t xml:space="preserve">IAHP PHC </w:t>
      </w:r>
      <w:r w:rsidR="0066600C">
        <w:rPr>
          <w:i/>
        </w:rPr>
        <w:t>Activity Work Plan</w:t>
      </w:r>
      <w:r>
        <w:rPr>
          <w:i/>
        </w:rPr>
        <w:t xml:space="preserve"> </w:t>
      </w:r>
      <w:r w:rsidR="00A2524E">
        <w:rPr>
          <w:i/>
        </w:rPr>
        <w:t>in the Health Data Portal</w:t>
      </w:r>
      <w:r>
        <w:rPr>
          <w:i/>
        </w:rPr>
        <w:t xml:space="preserve"> </w:t>
      </w:r>
      <w:r w:rsidRPr="00277878">
        <w:t>user guide</w:t>
      </w:r>
      <w:r w:rsidR="005B67CE">
        <w:t xml:space="preserve"> on the </w:t>
      </w:r>
      <w:r w:rsidR="005B67CE" w:rsidRPr="005B67CE">
        <w:rPr>
          <w:i/>
        </w:rPr>
        <w:t>User</w:t>
      </w:r>
      <w:r w:rsidR="00E77524">
        <w:rPr>
          <w:i/>
        </w:rPr>
        <w:t xml:space="preserve"> </w:t>
      </w:r>
      <w:r w:rsidR="005B67CE" w:rsidRPr="00E77524">
        <w:rPr>
          <w:i/>
          <w:iCs/>
        </w:rPr>
        <w:t>Support</w:t>
      </w:r>
      <w:r w:rsidR="005B67CE">
        <w:t xml:space="preserve"> </w:t>
      </w:r>
      <w:r w:rsidR="00E77524">
        <w:t>page</w:t>
      </w:r>
      <w:r w:rsidR="005B67CE">
        <w:t xml:space="preserve"> of the Data Portal</w:t>
      </w:r>
      <w:r w:rsidRPr="00277878">
        <w:t>.</w:t>
      </w:r>
    </w:p>
    <w:p w14:paraId="5687579B" w14:textId="77777777" w:rsidR="00EB6123" w:rsidRPr="0058320B" w:rsidRDefault="00EB6123" w:rsidP="000F79E1">
      <w:pPr>
        <w:pStyle w:val="QRGText"/>
      </w:pPr>
    </w:p>
    <w:p w14:paraId="2138ADE0" w14:textId="77777777" w:rsidR="00A6070D" w:rsidRPr="0058320B" w:rsidRDefault="00A6070D" w:rsidP="006A0022">
      <w:pPr>
        <w:pStyle w:val="QRGText"/>
      </w:pPr>
    </w:p>
    <w:sectPr w:rsidR="00A6070D" w:rsidRPr="0058320B" w:rsidSect="008B6444">
      <w:type w:val="continuous"/>
      <w:pgSz w:w="11906" w:h="16838" w:code="9"/>
      <w:pgMar w:top="1985"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8C5A" w14:textId="77777777" w:rsidR="00AB1DE4" w:rsidRDefault="00AB1DE4" w:rsidP="00AF798B">
      <w:pPr>
        <w:spacing w:before="0" w:after="0"/>
      </w:pPr>
      <w:r>
        <w:separator/>
      </w:r>
    </w:p>
    <w:p w14:paraId="6E146136" w14:textId="77777777" w:rsidR="00AB1DE4" w:rsidRDefault="00AB1DE4"/>
  </w:endnote>
  <w:endnote w:type="continuationSeparator" w:id="0">
    <w:p w14:paraId="6B97D123" w14:textId="77777777" w:rsidR="00AB1DE4" w:rsidRDefault="00AB1DE4" w:rsidP="00AF798B">
      <w:pPr>
        <w:spacing w:before="0" w:after="0"/>
      </w:pPr>
      <w:r>
        <w:continuationSeparator/>
      </w:r>
    </w:p>
    <w:p w14:paraId="3A3F2241" w14:textId="77777777" w:rsidR="00AB1DE4" w:rsidRDefault="00AB1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37A7" w14:textId="77777777" w:rsidR="001B2AA9" w:rsidRDefault="001B2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2A73CB53"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C42ED0">
              <w:rPr>
                <w:noProof/>
              </w:rPr>
              <w:t>3</w:t>
            </w:r>
            <w:r>
              <w:rPr>
                <w:sz w:val="24"/>
              </w:rPr>
              <w:fldChar w:fldCharType="end"/>
            </w:r>
            <w:r>
              <w:t xml:space="preserve"> of </w:t>
            </w:r>
            <w:r w:rsidR="00F83077">
              <w:rPr>
                <w:noProof/>
              </w:rPr>
              <w:fldChar w:fldCharType="begin"/>
            </w:r>
            <w:r w:rsidR="00F83077">
              <w:rPr>
                <w:noProof/>
              </w:rPr>
              <w:instrText xml:space="preserve"> NUMPAGES  </w:instrText>
            </w:r>
            <w:r w:rsidR="00F83077">
              <w:rPr>
                <w:noProof/>
              </w:rPr>
              <w:fldChar w:fldCharType="separate"/>
            </w:r>
            <w:r w:rsidR="00C42ED0">
              <w:rPr>
                <w:noProof/>
              </w:rPr>
              <w:t>3</w:t>
            </w:r>
            <w:r w:rsidR="00F83077">
              <w:rPr>
                <w:noProof/>
              </w:rPr>
              <w:fldChar w:fldCharType="end"/>
            </w:r>
          </w:p>
        </w:sdtContent>
      </w:sdt>
    </w:sdtContent>
  </w:sdt>
  <w:p w14:paraId="374BF06A" w14:textId="77777777" w:rsidR="00AF798B" w:rsidRDefault="00AF7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F63" w14:textId="77777777" w:rsidR="001B2AA9" w:rsidRDefault="001B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156C" w14:textId="77777777" w:rsidR="00AB1DE4" w:rsidRDefault="00AB1DE4" w:rsidP="00AF798B">
      <w:pPr>
        <w:spacing w:before="0" w:after="0"/>
      </w:pPr>
      <w:r>
        <w:separator/>
      </w:r>
    </w:p>
    <w:p w14:paraId="30BDA893" w14:textId="77777777" w:rsidR="00AB1DE4" w:rsidRDefault="00AB1DE4"/>
  </w:footnote>
  <w:footnote w:type="continuationSeparator" w:id="0">
    <w:p w14:paraId="46FBD6FA" w14:textId="77777777" w:rsidR="00AB1DE4" w:rsidRDefault="00AB1DE4" w:rsidP="00AF798B">
      <w:pPr>
        <w:spacing w:before="0" w:after="0"/>
      </w:pPr>
      <w:r>
        <w:continuationSeparator/>
      </w:r>
    </w:p>
    <w:p w14:paraId="467321FE" w14:textId="77777777" w:rsidR="00AB1DE4" w:rsidRDefault="00AB1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5F3D" w14:textId="77777777" w:rsidR="001B2AA9" w:rsidRDefault="001B2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EF75" w14:textId="5DFD81DF" w:rsidR="009433D1" w:rsidRDefault="001B2AA9">
    <w:pPr>
      <w:pStyle w:val="Header"/>
    </w:pPr>
    <w:r w:rsidRPr="00FD6E04">
      <w:rPr>
        <w:noProof/>
        <w:lang w:eastAsia="en-AU"/>
      </w:rPr>
      <mc:AlternateContent>
        <mc:Choice Requires="wps">
          <w:drawing>
            <wp:anchor distT="0" distB="0" distL="114300" distR="114300" simplePos="0" relativeHeight="251661824" behindDoc="0" locked="1" layoutInCell="1" allowOverlap="1" wp14:anchorId="616C3867" wp14:editId="20B0B834">
              <wp:simplePos x="0" y="0"/>
              <wp:positionH relativeFrom="column">
                <wp:posOffset>2440305</wp:posOffset>
              </wp:positionH>
              <wp:positionV relativeFrom="page">
                <wp:posOffset>252730</wp:posOffset>
              </wp:positionV>
              <wp:extent cx="4203700" cy="1403985"/>
              <wp:effectExtent l="0" t="0" r="0" b="1905"/>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noFill/>
                      <a:ln w="9525">
                        <a:noFill/>
                        <a:miter lim="800000"/>
                        <a:headEnd/>
                        <a:tailEnd/>
                      </a:ln>
                    </wps:spPr>
                    <wps:txbx>
                      <w:txbxContent>
                        <w:p w14:paraId="69939665" w14:textId="77777777" w:rsidR="001B2AA9" w:rsidRPr="00392D4E" w:rsidRDefault="001B2AA9" w:rsidP="001B2AA9">
                          <w:pPr>
                            <w:jc w:val="center"/>
                            <w:rPr>
                              <w:rFonts w:asciiTheme="minorHAnsi" w:hAnsiTheme="minorHAnsi"/>
                              <w:b/>
                              <w:sz w:val="36"/>
                              <w:szCs w:val="36"/>
                            </w:rPr>
                          </w:pPr>
                          <w:r w:rsidRPr="00392D4E">
                            <w:rPr>
                              <w:rFonts w:asciiTheme="minorHAnsi" w:hAnsiTheme="minorHAnsi"/>
                              <w:b/>
                              <w:sz w:val="36"/>
                              <w:szCs w:val="36"/>
                            </w:rPr>
                            <w:t xml:space="preserve">Submit </w:t>
                          </w:r>
                          <w:r>
                            <w:rPr>
                              <w:rFonts w:asciiTheme="minorHAnsi" w:hAnsiTheme="minorHAnsi"/>
                              <w:b/>
                              <w:sz w:val="36"/>
                              <w:szCs w:val="36"/>
                            </w:rPr>
                            <w:t>your IAHP PHC Activity Work Plan (AWP)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C3867" id="_x0000_t202" coordsize="21600,21600" o:spt="202" path="m,l,21600r21600,l21600,xe">
              <v:stroke joinstyle="miter"/>
              <v:path gradientshapeok="t" o:connecttype="rect"/>
            </v:shapetype>
            <v:shape id="Text Box 28" o:spid="_x0000_s1026" type="#_x0000_t202" alt="&quot;&quot;" style="position:absolute;margin-left:192.15pt;margin-top:19.9pt;width:331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" filled="f" stroked="f">
              <v:textbox style="mso-fit-shape-to-text:t">
                <w:txbxContent>
                  <w:p w14:paraId="69939665" w14:textId="77777777" w:rsidR="001B2AA9" w:rsidRPr="00392D4E" w:rsidRDefault="001B2AA9" w:rsidP="001B2AA9">
                    <w:pPr>
                      <w:jc w:val="center"/>
                      <w:rPr>
                        <w:rFonts w:asciiTheme="minorHAnsi" w:hAnsiTheme="minorHAnsi"/>
                        <w:b/>
                        <w:sz w:val="36"/>
                        <w:szCs w:val="36"/>
                      </w:rPr>
                    </w:pPr>
                    <w:r w:rsidRPr="00392D4E">
                      <w:rPr>
                        <w:rFonts w:asciiTheme="minorHAnsi" w:hAnsiTheme="minorHAnsi"/>
                        <w:b/>
                        <w:sz w:val="36"/>
                        <w:szCs w:val="36"/>
                      </w:rPr>
                      <w:t xml:space="preserve">Submit </w:t>
                    </w:r>
                    <w:r>
                      <w:rPr>
                        <w:rFonts w:asciiTheme="minorHAnsi" w:hAnsiTheme="minorHAnsi"/>
                        <w:b/>
                        <w:sz w:val="36"/>
                        <w:szCs w:val="36"/>
                      </w:rPr>
                      <w:t>your IAHP PHC Activity Work Plan (AWP)</w:t>
                    </w:r>
                  </w:p>
                </w:txbxContent>
              </v:textbox>
              <w10:wrap anchory="page"/>
              <w10:anchorlock/>
            </v:shape>
          </w:pict>
        </mc:Fallback>
      </mc:AlternateContent>
    </w:r>
    <w:r w:rsidR="00A40D63">
      <w:rPr>
        <w:noProof/>
        <w:lang w:eastAsia="en-AU"/>
      </w:rPr>
      <w:drawing>
        <wp:anchor distT="0" distB="0" distL="114300" distR="114300" simplePos="0" relativeHeight="251659776" behindDoc="0" locked="0" layoutInCell="1" allowOverlap="1" wp14:anchorId="6EE24DC7" wp14:editId="360E69B4">
          <wp:simplePos x="0" y="0"/>
          <wp:positionH relativeFrom="column">
            <wp:posOffset>-140970</wp:posOffset>
          </wp:positionH>
          <wp:positionV relativeFrom="paragraph">
            <wp:posOffset>38735</wp:posOffset>
          </wp:positionV>
          <wp:extent cx="2469068" cy="745414"/>
          <wp:effectExtent l="0" t="0" r="7620" b="0"/>
          <wp:wrapSquare wrapText="bothSides"/>
          <wp:docPr id="4" name="Picture 4"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9433D1" w:rsidRPr="000628A2">
      <w:rPr>
        <w:noProof/>
        <w:lang w:eastAsia="en-AU"/>
      </w:rPr>
      <w:drawing>
        <wp:anchor distT="0" distB="0" distL="114300" distR="114300" simplePos="0" relativeHeight="251658752" behindDoc="0" locked="0" layoutInCell="1" allowOverlap="1" wp14:anchorId="69431620" wp14:editId="4DB4C6E8">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Submit an IHDR nKPI Data Asset (Manual Proces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A0DF" w14:textId="77777777" w:rsidR="001B2AA9" w:rsidRDefault="001B2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408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88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C22F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C7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02B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6B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A40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89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1A64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BC5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679E8CD6"/>
    <w:lvl w:ilvl="0" w:tplc="0882E5CE">
      <w:start w:val="1"/>
      <w:numFmt w:val="decimal"/>
      <w:pStyle w:val="QRGNumbering1"/>
      <w:lvlText w:val="%1."/>
      <w:lvlJc w:val="left"/>
      <w:pPr>
        <w:ind w:left="720" w:hanging="360"/>
      </w:pPr>
    </w:lvl>
    <w:lvl w:ilvl="1" w:tplc="0C090019">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A24DEC"/>
    <w:multiLevelType w:val="hybridMultilevel"/>
    <w:tmpl w:val="4936F8B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5044602">
    <w:abstractNumId w:val="12"/>
  </w:num>
  <w:num w:numId="2" w16cid:durableId="1721594420">
    <w:abstractNumId w:val="10"/>
  </w:num>
  <w:num w:numId="3" w16cid:durableId="1964917024">
    <w:abstractNumId w:val="13"/>
  </w:num>
  <w:num w:numId="4" w16cid:durableId="122163286">
    <w:abstractNumId w:val="10"/>
    <w:lvlOverride w:ilvl="0">
      <w:startOverride w:val="1"/>
    </w:lvlOverride>
  </w:num>
  <w:num w:numId="5" w16cid:durableId="1445346696">
    <w:abstractNumId w:val="10"/>
    <w:lvlOverride w:ilvl="0">
      <w:startOverride w:val="1"/>
    </w:lvlOverride>
  </w:num>
  <w:num w:numId="6" w16cid:durableId="1382483931">
    <w:abstractNumId w:val="10"/>
    <w:lvlOverride w:ilvl="0">
      <w:startOverride w:val="1"/>
    </w:lvlOverride>
  </w:num>
  <w:num w:numId="7" w16cid:durableId="875045721">
    <w:abstractNumId w:val="9"/>
  </w:num>
  <w:num w:numId="8" w16cid:durableId="299119662">
    <w:abstractNumId w:val="7"/>
  </w:num>
  <w:num w:numId="9" w16cid:durableId="995299716">
    <w:abstractNumId w:val="6"/>
  </w:num>
  <w:num w:numId="10" w16cid:durableId="1751151233">
    <w:abstractNumId w:val="5"/>
  </w:num>
  <w:num w:numId="11" w16cid:durableId="1990356439">
    <w:abstractNumId w:val="4"/>
  </w:num>
  <w:num w:numId="12" w16cid:durableId="1622808663">
    <w:abstractNumId w:val="8"/>
  </w:num>
  <w:num w:numId="13" w16cid:durableId="1508590211">
    <w:abstractNumId w:val="3"/>
  </w:num>
  <w:num w:numId="14" w16cid:durableId="360058853">
    <w:abstractNumId w:val="2"/>
  </w:num>
  <w:num w:numId="15" w16cid:durableId="147408821">
    <w:abstractNumId w:val="1"/>
  </w:num>
  <w:num w:numId="16" w16cid:durableId="1793286748">
    <w:abstractNumId w:val="0"/>
  </w:num>
  <w:num w:numId="17" w16cid:durableId="311174707">
    <w:abstractNumId w:val="10"/>
    <w:lvlOverride w:ilvl="0">
      <w:startOverride w:val="1"/>
    </w:lvlOverride>
  </w:num>
  <w:num w:numId="18" w16cid:durableId="2008088842">
    <w:abstractNumId w:val="10"/>
    <w:lvlOverride w:ilvl="0">
      <w:startOverride w:val="1"/>
    </w:lvlOverride>
  </w:num>
  <w:num w:numId="19" w16cid:durableId="947541677">
    <w:abstractNumId w:val="10"/>
    <w:lvlOverride w:ilvl="0">
      <w:startOverride w:val="1"/>
    </w:lvlOverride>
  </w:num>
  <w:num w:numId="20" w16cid:durableId="757868335">
    <w:abstractNumId w:val="12"/>
  </w:num>
  <w:num w:numId="21" w16cid:durableId="1461457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9535357">
    <w:abstractNumId w:val="12"/>
  </w:num>
  <w:num w:numId="23" w16cid:durableId="1812402231">
    <w:abstractNumId w:val="10"/>
  </w:num>
  <w:num w:numId="24" w16cid:durableId="407849964">
    <w:abstractNumId w:val="10"/>
  </w:num>
  <w:num w:numId="25" w16cid:durableId="937981524">
    <w:abstractNumId w:val="10"/>
    <w:lvlOverride w:ilvl="0">
      <w:startOverride w:val="1"/>
    </w:lvlOverride>
  </w:num>
  <w:num w:numId="26" w16cid:durableId="1059405275">
    <w:abstractNumId w:val="10"/>
    <w:lvlOverride w:ilvl="0">
      <w:startOverride w:val="1"/>
    </w:lvlOverride>
  </w:num>
  <w:num w:numId="27" w16cid:durableId="941495337">
    <w:abstractNumId w:val="10"/>
  </w:num>
  <w:num w:numId="28" w16cid:durableId="557398192">
    <w:abstractNumId w:val="10"/>
    <w:lvlOverride w:ilvl="0">
      <w:startOverride w:val="1"/>
    </w:lvlOverride>
  </w:num>
  <w:num w:numId="29" w16cid:durableId="1488788383">
    <w:abstractNumId w:val="10"/>
    <w:lvlOverride w:ilvl="0">
      <w:startOverride w:val="1"/>
    </w:lvlOverride>
  </w:num>
  <w:num w:numId="30" w16cid:durableId="346641123">
    <w:abstractNumId w:val="10"/>
    <w:lvlOverride w:ilvl="0">
      <w:startOverride w:val="1"/>
    </w:lvlOverride>
  </w:num>
  <w:num w:numId="31" w16cid:durableId="1513686820">
    <w:abstractNumId w:val="10"/>
  </w:num>
  <w:num w:numId="32" w16cid:durableId="1880431859">
    <w:abstractNumId w:val="10"/>
    <w:lvlOverride w:ilvl="0">
      <w:startOverride w:val="1"/>
    </w:lvlOverride>
  </w:num>
  <w:num w:numId="33" w16cid:durableId="227573016">
    <w:abstractNumId w:val="10"/>
  </w:num>
  <w:num w:numId="34" w16cid:durableId="694889747">
    <w:abstractNumId w:val="10"/>
  </w:num>
  <w:num w:numId="35" w16cid:durableId="971515361">
    <w:abstractNumId w:val="10"/>
    <w:lvlOverride w:ilvl="0">
      <w:startOverride w:val="1"/>
    </w:lvlOverride>
  </w:num>
  <w:num w:numId="36" w16cid:durableId="1980260846">
    <w:abstractNumId w:val="10"/>
    <w:lvlOverride w:ilvl="0">
      <w:startOverride w:val="1"/>
    </w:lvlOverride>
  </w:num>
  <w:num w:numId="37" w16cid:durableId="1207184311">
    <w:abstractNumId w:val="10"/>
  </w:num>
  <w:num w:numId="38" w16cid:durableId="1266379212">
    <w:abstractNumId w:val="10"/>
    <w:lvlOverride w:ilvl="0">
      <w:startOverride w:val="1"/>
    </w:lvlOverride>
  </w:num>
  <w:num w:numId="39" w16cid:durableId="710616222">
    <w:abstractNumId w:val="11"/>
  </w:num>
  <w:num w:numId="40" w16cid:durableId="29495743">
    <w:abstractNumId w:val="10"/>
    <w:lvlOverride w:ilvl="0">
      <w:startOverride w:val="1"/>
    </w:lvlOverride>
  </w:num>
  <w:num w:numId="41" w16cid:durableId="993607684">
    <w:abstractNumId w:val="10"/>
    <w:lvlOverride w:ilvl="0">
      <w:startOverride w:val="1"/>
    </w:lvlOverride>
  </w:num>
  <w:num w:numId="42" w16cid:durableId="1918904448">
    <w:abstractNumId w:val="10"/>
    <w:lvlOverride w:ilvl="0">
      <w:startOverride w:val="1"/>
    </w:lvlOverride>
  </w:num>
  <w:num w:numId="43" w16cid:durableId="262147371">
    <w:abstractNumId w:val="10"/>
  </w:num>
  <w:num w:numId="44" w16cid:durableId="1244686871">
    <w:abstractNumId w:val="10"/>
  </w:num>
  <w:num w:numId="45" w16cid:durableId="1945914797">
    <w:abstractNumId w:val="10"/>
  </w:num>
  <w:num w:numId="46" w16cid:durableId="531185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F5"/>
    <w:rsid w:val="00003743"/>
    <w:rsid w:val="00010AFE"/>
    <w:rsid w:val="00016A42"/>
    <w:rsid w:val="00022F50"/>
    <w:rsid w:val="00026B9E"/>
    <w:rsid w:val="000366E3"/>
    <w:rsid w:val="000506D7"/>
    <w:rsid w:val="00056198"/>
    <w:rsid w:val="00067456"/>
    <w:rsid w:val="000714B7"/>
    <w:rsid w:val="0007613B"/>
    <w:rsid w:val="000818DA"/>
    <w:rsid w:val="0008444F"/>
    <w:rsid w:val="000A5BD2"/>
    <w:rsid w:val="000C4831"/>
    <w:rsid w:val="000C5A20"/>
    <w:rsid w:val="000D0CFA"/>
    <w:rsid w:val="000E1C31"/>
    <w:rsid w:val="000E3CDD"/>
    <w:rsid w:val="000E4608"/>
    <w:rsid w:val="000F79E1"/>
    <w:rsid w:val="001156F4"/>
    <w:rsid w:val="00123B17"/>
    <w:rsid w:val="00123C3A"/>
    <w:rsid w:val="00135C0E"/>
    <w:rsid w:val="00136438"/>
    <w:rsid w:val="00141F5F"/>
    <w:rsid w:val="001501E5"/>
    <w:rsid w:val="001606D6"/>
    <w:rsid w:val="00173713"/>
    <w:rsid w:val="00183C98"/>
    <w:rsid w:val="00184B68"/>
    <w:rsid w:val="001A12E1"/>
    <w:rsid w:val="001B2AA9"/>
    <w:rsid w:val="001B3443"/>
    <w:rsid w:val="001C1D64"/>
    <w:rsid w:val="001D06F3"/>
    <w:rsid w:val="001F101F"/>
    <w:rsid w:val="00200606"/>
    <w:rsid w:val="00201646"/>
    <w:rsid w:val="0020451C"/>
    <w:rsid w:val="00212F98"/>
    <w:rsid w:val="00214E7E"/>
    <w:rsid w:val="00230520"/>
    <w:rsid w:val="00246FCA"/>
    <w:rsid w:val="002478C0"/>
    <w:rsid w:val="00256FF6"/>
    <w:rsid w:val="0027152E"/>
    <w:rsid w:val="00277E89"/>
    <w:rsid w:val="00297B0E"/>
    <w:rsid w:val="002A53E1"/>
    <w:rsid w:val="002E33E3"/>
    <w:rsid w:val="002E4840"/>
    <w:rsid w:val="00302CE1"/>
    <w:rsid w:val="00305474"/>
    <w:rsid w:val="0030786C"/>
    <w:rsid w:val="00307882"/>
    <w:rsid w:val="00313943"/>
    <w:rsid w:val="00313C61"/>
    <w:rsid w:val="00316F6F"/>
    <w:rsid w:val="00334497"/>
    <w:rsid w:val="00346302"/>
    <w:rsid w:val="00346420"/>
    <w:rsid w:val="00350777"/>
    <w:rsid w:val="00356D1A"/>
    <w:rsid w:val="00362C0E"/>
    <w:rsid w:val="0036619E"/>
    <w:rsid w:val="0036696F"/>
    <w:rsid w:val="00373CCF"/>
    <w:rsid w:val="0038232B"/>
    <w:rsid w:val="00392D4E"/>
    <w:rsid w:val="00396343"/>
    <w:rsid w:val="003A4FDF"/>
    <w:rsid w:val="003B0A14"/>
    <w:rsid w:val="003B20CA"/>
    <w:rsid w:val="003C17A9"/>
    <w:rsid w:val="003C6C3F"/>
    <w:rsid w:val="003D17F9"/>
    <w:rsid w:val="003D3A1F"/>
    <w:rsid w:val="003D42AF"/>
    <w:rsid w:val="003D6E16"/>
    <w:rsid w:val="003E67D9"/>
    <w:rsid w:val="003F0637"/>
    <w:rsid w:val="003F26C8"/>
    <w:rsid w:val="003F50B2"/>
    <w:rsid w:val="0040386F"/>
    <w:rsid w:val="0041771E"/>
    <w:rsid w:val="00431F5B"/>
    <w:rsid w:val="004331FC"/>
    <w:rsid w:val="00453543"/>
    <w:rsid w:val="004623A3"/>
    <w:rsid w:val="00466B35"/>
    <w:rsid w:val="0048216E"/>
    <w:rsid w:val="004867E2"/>
    <w:rsid w:val="004A4E71"/>
    <w:rsid w:val="004A7B40"/>
    <w:rsid w:val="004B0826"/>
    <w:rsid w:val="004D4AFE"/>
    <w:rsid w:val="004D6A39"/>
    <w:rsid w:val="004F3B85"/>
    <w:rsid w:val="005018F6"/>
    <w:rsid w:val="0050460F"/>
    <w:rsid w:val="005125C8"/>
    <w:rsid w:val="0052141A"/>
    <w:rsid w:val="00522498"/>
    <w:rsid w:val="00534B8E"/>
    <w:rsid w:val="00535A8A"/>
    <w:rsid w:val="0054201C"/>
    <w:rsid w:val="005436DB"/>
    <w:rsid w:val="00552C52"/>
    <w:rsid w:val="005655FB"/>
    <w:rsid w:val="0056662D"/>
    <w:rsid w:val="0057671C"/>
    <w:rsid w:val="0058207B"/>
    <w:rsid w:val="0058320B"/>
    <w:rsid w:val="00593931"/>
    <w:rsid w:val="005963DD"/>
    <w:rsid w:val="005B1991"/>
    <w:rsid w:val="005B67CE"/>
    <w:rsid w:val="005C08F9"/>
    <w:rsid w:val="005C3B6F"/>
    <w:rsid w:val="005D006A"/>
    <w:rsid w:val="005D2E49"/>
    <w:rsid w:val="005E1DAE"/>
    <w:rsid w:val="005E5291"/>
    <w:rsid w:val="005F319F"/>
    <w:rsid w:val="00607DF1"/>
    <w:rsid w:val="00616ABF"/>
    <w:rsid w:val="0062553C"/>
    <w:rsid w:val="00637A5B"/>
    <w:rsid w:val="00665D42"/>
    <w:rsid w:val="0066600C"/>
    <w:rsid w:val="006666D3"/>
    <w:rsid w:val="006817F5"/>
    <w:rsid w:val="006859BE"/>
    <w:rsid w:val="0068720B"/>
    <w:rsid w:val="006A0022"/>
    <w:rsid w:val="006B35EA"/>
    <w:rsid w:val="00705BE7"/>
    <w:rsid w:val="0071030A"/>
    <w:rsid w:val="00726CF5"/>
    <w:rsid w:val="00730E67"/>
    <w:rsid w:val="007458D4"/>
    <w:rsid w:val="007552C8"/>
    <w:rsid w:val="00761ED9"/>
    <w:rsid w:val="00762C24"/>
    <w:rsid w:val="00792542"/>
    <w:rsid w:val="00793165"/>
    <w:rsid w:val="007A203E"/>
    <w:rsid w:val="007A466C"/>
    <w:rsid w:val="007C4D6B"/>
    <w:rsid w:val="007C5530"/>
    <w:rsid w:val="007D6FD5"/>
    <w:rsid w:val="007D7428"/>
    <w:rsid w:val="007E32B7"/>
    <w:rsid w:val="007F5E39"/>
    <w:rsid w:val="007F6326"/>
    <w:rsid w:val="007F697B"/>
    <w:rsid w:val="00800A68"/>
    <w:rsid w:val="008106CD"/>
    <w:rsid w:val="008124D5"/>
    <w:rsid w:val="008201F9"/>
    <w:rsid w:val="008237CF"/>
    <w:rsid w:val="008264EB"/>
    <w:rsid w:val="008311B9"/>
    <w:rsid w:val="00834551"/>
    <w:rsid w:val="00837B0D"/>
    <w:rsid w:val="008457D9"/>
    <w:rsid w:val="0086094A"/>
    <w:rsid w:val="00867F5E"/>
    <w:rsid w:val="00871C17"/>
    <w:rsid w:val="00877F51"/>
    <w:rsid w:val="00891A5D"/>
    <w:rsid w:val="008969B8"/>
    <w:rsid w:val="008B5D57"/>
    <w:rsid w:val="008B6444"/>
    <w:rsid w:val="008B6633"/>
    <w:rsid w:val="008B7C63"/>
    <w:rsid w:val="008D22B5"/>
    <w:rsid w:val="008D31CD"/>
    <w:rsid w:val="008D5CEF"/>
    <w:rsid w:val="008E2170"/>
    <w:rsid w:val="008E4637"/>
    <w:rsid w:val="008E6D92"/>
    <w:rsid w:val="008F2C41"/>
    <w:rsid w:val="008F79F3"/>
    <w:rsid w:val="00904734"/>
    <w:rsid w:val="00923208"/>
    <w:rsid w:val="00927271"/>
    <w:rsid w:val="009331AA"/>
    <w:rsid w:val="009433D1"/>
    <w:rsid w:val="009506B0"/>
    <w:rsid w:val="00951E20"/>
    <w:rsid w:val="00956729"/>
    <w:rsid w:val="00957903"/>
    <w:rsid w:val="00967487"/>
    <w:rsid w:val="0096794B"/>
    <w:rsid w:val="009A7F08"/>
    <w:rsid w:val="009C26A1"/>
    <w:rsid w:val="009C621E"/>
    <w:rsid w:val="009D2666"/>
    <w:rsid w:val="009E0936"/>
    <w:rsid w:val="009E2203"/>
    <w:rsid w:val="009E3FDC"/>
    <w:rsid w:val="009F3E7E"/>
    <w:rsid w:val="00A0374D"/>
    <w:rsid w:val="00A23E40"/>
    <w:rsid w:val="00A2524E"/>
    <w:rsid w:val="00A40D63"/>
    <w:rsid w:val="00A410A4"/>
    <w:rsid w:val="00A4512D"/>
    <w:rsid w:val="00A5384B"/>
    <w:rsid w:val="00A6070D"/>
    <w:rsid w:val="00A705AA"/>
    <w:rsid w:val="00A705AF"/>
    <w:rsid w:val="00A778DC"/>
    <w:rsid w:val="00A81797"/>
    <w:rsid w:val="00A84533"/>
    <w:rsid w:val="00A95057"/>
    <w:rsid w:val="00AB1DE4"/>
    <w:rsid w:val="00AB246D"/>
    <w:rsid w:val="00AB25BF"/>
    <w:rsid w:val="00AC3656"/>
    <w:rsid w:val="00AC5540"/>
    <w:rsid w:val="00AD1CD6"/>
    <w:rsid w:val="00AD3BF2"/>
    <w:rsid w:val="00AD7E61"/>
    <w:rsid w:val="00AF58B0"/>
    <w:rsid w:val="00AF6A6E"/>
    <w:rsid w:val="00AF6AFE"/>
    <w:rsid w:val="00AF798B"/>
    <w:rsid w:val="00B00E3C"/>
    <w:rsid w:val="00B11990"/>
    <w:rsid w:val="00B13265"/>
    <w:rsid w:val="00B25007"/>
    <w:rsid w:val="00B42851"/>
    <w:rsid w:val="00B429B6"/>
    <w:rsid w:val="00B43988"/>
    <w:rsid w:val="00B476D1"/>
    <w:rsid w:val="00B73D21"/>
    <w:rsid w:val="00B810E5"/>
    <w:rsid w:val="00B90669"/>
    <w:rsid w:val="00BA56CB"/>
    <w:rsid w:val="00BC4D3A"/>
    <w:rsid w:val="00BC5473"/>
    <w:rsid w:val="00BE596C"/>
    <w:rsid w:val="00BF05CD"/>
    <w:rsid w:val="00BF393F"/>
    <w:rsid w:val="00C0493B"/>
    <w:rsid w:val="00C0729D"/>
    <w:rsid w:val="00C14988"/>
    <w:rsid w:val="00C175F1"/>
    <w:rsid w:val="00C1777E"/>
    <w:rsid w:val="00C42ED0"/>
    <w:rsid w:val="00C511D5"/>
    <w:rsid w:val="00C53CBD"/>
    <w:rsid w:val="00C635D7"/>
    <w:rsid w:val="00C65E47"/>
    <w:rsid w:val="00C762EA"/>
    <w:rsid w:val="00C84175"/>
    <w:rsid w:val="00C9093A"/>
    <w:rsid w:val="00CA0979"/>
    <w:rsid w:val="00CB5B1A"/>
    <w:rsid w:val="00CD36B2"/>
    <w:rsid w:val="00CE3A3B"/>
    <w:rsid w:val="00CE3CDD"/>
    <w:rsid w:val="00CF536F"/>
    <w:rsid w:val="00D00EA7"/>
    <w:rsid w:val="00D14831"/>
    <w:rsid w:val="00D17328"/>
    <w:rsid w:val="00D31104"/>
    <w:rsid w:val="00D53109"/>
    <w:rsid w:val="00D63AB0"/>
    <w:rsid w:val="00D66381"/>
    <w:rsid w:val="00D71B26"/>
    <w:rsid w:val="00D77A10"/>
    <w:rsid w:val="00D80923"/>
    <w:rsid w:val="00D91DB4"/>
    <w:rsid w:val="00D91DE1"/>
    <w:rsid w:val="00DA1E3C"/>
    <w:rsid w:val="00DB683D"/>
    <w:rsid w:val="00DC0B7C"/>
    <w:rsid w:val="00DC410F"/>
    <w:rsid w:val="00DE622A"/>
    <w:rsid w:val="00DF189B"/>
    <w:rsid w:val="00DF6B0E"/>
    <w:rsid w:val="00E15715"/>
    <w:rsid w:val="00E5583A"/>
    <w:rsid w:val="00E61B27"/>
    <w:rsid w:val="00E63B58"/>
    <w:rsid w:val="00E72062"/>
    <w:rsid w:val="00E77524"/>
    <w:rsid w:val="00E93A24"/>
    <w:rsid w:val="00EA32FD"/>
    <w:rsid w:val="00EB3653"/>
    <w:rsid w:val="00EB6123"/>
    <w:rsid w:val="00EB6A7A"/>
    <w:rsid w:val="00EC6FB0"/>
    <w:rsid w:val="00ED60CC"/>
    <w:rsid w:val="00EE0CDA"/>
    <w:rsid w:val="00EF6795"/>
    <w:rsid w:val="00F14315"/>
    <w:rsid w:val="00F1491D"/>
    <w:rsid w:val="00F2513A"/>
    <w:rsid w:val="00F2513D"/>
    <w:rsid w:val="00F3122A"/>
    <w:rsid w:val="00F40C95"/>
    <w:rsid w:val="00F455CD"/>
    <w:rsid w:val="00F60AA0"/>
    <w:rsid w:val="00F735B2"/>
    <w:rsid w:val="00F77241"/>
    <w:rsid w:val="00F83077"/>
    <w:rsid w:val="00F85E77"/>
    <w:rsid w:val="00F96B27"/>
    <w:rsid w:val="00FB3056"/>
    <w:rsid w:val="00FB4582"/>
    <w:rsid w:val="00FC1A43"/>
    <w:rsid w:val="00FD29CD"/>
    <w:rsid w:val="00FD6E04"/>
    <w:rsid w:val="00FE56E8"/>
    <w:rsid w:val="00FF0586"/>
    <w:rsid w:val="00FF3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A9AA7"/>
  <w15:docId w15:val="{D752B338-961A-49E1-8C73-8B35E85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AF58B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Signature">
    <w:name w:val="Signature"/>
    <w:basedOn w:val="Normal"/>
    <w:link w:val="SignatureChar"/>
    <w:unhideWhenUsed/>
    <w:rsid w:val="00EA32FD"/>
    <w:pPr>
      <w:spacing w:before="0" w:after="0"/>
      <w:ind w:left="4252"/>
    </w:pPr>
  </w:style>
  <w:style w:type="character" w:customStyle="1" w:styleId="SignatureChar">
    <w:name w:val="Signature Char"/>
    <w:basedOn w:val="DefaultParagraphFont"/>
    <w:link w:val="Signature"/>
    <w:rsid w:val="00EA32FD"/>
    <w:rPr>
      <w:rFonts w:ascii="Tahoma" w:hAnsi="Tahoma"/>
      <w:sz w:val="24"/>
      <w:szCs w:val="24"/>
      <w:lang w:eastAsia="en-US"/>
    </w:rPr>
  </w:style>
  <w:style w:type="character" w:styleId="Hyperlink">
    <w:name w:val="Hyperlink"/>
    <w:basedOn w:val="DefaultParagraphFont"/>
    <w:unhideWhenUsed/>
    <w:rsid w:val="00AF58B0"/>
    <w:rPr>
      <w:color w:val="0000FF" w:themeColor="hyperlink"/>
      <w:u w:val="single"/>
    </w:rPr>
  </w:style>
  <w:style w:type="paragraph" w:customStyle="1" w:styleId="StepText">
    <w:name w:val="Step Text"/>
    <w:basedOn w:val="Normal"/>
    <w:qFormat/>
    <w:rsid w:val="00CD36B2"/>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709">
      <w:bodyDiv w:val="1"/>
      <w:marLeft w:val="0"/>
      <w:marRight w:val="0"/>
      <w:marTop w:val="0"/>
      <w:marBottom w:val="0"/>
      <w:divBdr>
        <w:top w:val="none" w:sz="0" w:space="0" w:color="auto"/>
        <w:left w:val="none" w:sz="0" w:space="0" w:color="auto"/>
        <w:bottom w:val="none" w:sz="0" w:space="0" w:color="auto"/>
        <w:right w:val="none" w:sz="0" w:space="0" w:color="auto"/>
      </w:divBdr>
    </w:div>
    <w:div w:id="97525786">
      <w:bodyDiv w:val="1"/>
      <w:marLeft w:val="0"/>
      <w:marRight w:val="0"/>
      <w:marTop w:val="0"/>
      <w:marBottom w:val="0"/>
      <w:divBdr>
        <w:top w:val="none" w:sz="0" w:space="0" w:color="auto"/>
        <w:left w:val="none" w:sz="0" w:space="0" w:color="auto"/>
        <w:bottom w:val="none" w:sz="0" w:space="0" w:color="auto"/>
        <w:right w:val="none" w:sz="0" w:space="0" w:color="auto"/>
      </w:divBdr>
    </w:div>
    <w:div w:id="432433023">
      <w:bodyDiv w:val="1"/>
      <w:marLeft w:val="0"/>
      <w:marRight w:val="0"/>
      <w:marTop w:val="0"/>
      <w:marBottom w:val="0"/>
      <w:divBdr>
        <w:top w:val="none" w:sz="0" w:space="0" w:color="auto"/>
        <w:left w:val="none" w:sz="0" w:space="0" w:color="auto"/>
        <w:bottom w:val="none" w:sz="0" w:space="0" w:color="auto"/>
        <w:right w:val="none" w:sz="0" w:space="0" w:color="auto"/>
      </w:divBdr>
    </w:div>
    <w:div w:id="565411253">
      <w:bodyDiv w:val="1"/>
      <w:marLeft w:val="0"/>
      <w:marRight w:val="0"/>
      <w:marTop w:val="0"/>
      <w:marBottom w:val="0"/>
      <w:divBdr>
        <w:top w:val="none" w:sz="0" w:space="0" w:color="auto"/>
        <w:left w:val="none" w:sz="0" w:space="0" w:color="auto"/>
        <w:bottom w:val="none" w:sz="0" w:space="0" w:color="auto"/>
        <w:right w:val="none" w:sz="0" w:space="0" w:color="auto"/>
      </w:divBdr>
    </w:div>
    <w:div w:id="574432822">
      <w:bodyDiv w:val="1"/>
      <w:marLeft w:val="0"/>
      <w:marRight w:val="0"/>
      <w:marTop w:val="0"/>
      <w:marBottom w:val="0"/>
      <w:divBdr>
        <w:top w:val="none" w:sz="0" w:space="0" w:color="auto"/>
        <w:left w:val="none" w:sz="0" w:space="0" w:color="auto"/>
        <w:bottom w:val="none" w:sz="0" w:space="0" w:color="auto"/>
        <w:right w:val="none" w:sz="0" w:space="0" w:color="auto"/>
      </w:divBdr>
    </w:div>
    <w:div w:id="820001262">
      <w:bodyDiv w:val="1"/>
      <w:marLeft w:val="0"/>
      <w:marRight w:val="0"/>
      <w:marTop w:val="0"/>
      <w:marBottom w:val="0"/>
      <w:divBdr>
        <w:top w:val="none" w:sz="0" w:space="0" w:color="auto"/>
        <w:left w:val="none" w:sz="0" w:space="0" w:color="auto"/>
        <w:bottom w:val="none" w:sz="0" w:space="0" w:color="auto"/>
        <w:right w:val="none" w:sz="0" w:space="0" w:color="auto"/>
      </w:divBdr>
    </w:div>
    <w:div w:id="861625506">
      <w:bodyDiv w:val="1"/>
      <w:marLeft w:val="0"/>
      <w:marRight w:val="0"/>
      <w:marTop w:val="0"/>
      <w:marBottom w:val="0"/>
      <w:divBdr>
        <w:top w:val="none" w:sz="0" w:space="0" w:color="auto"/>
        <w:left w:val="none" w:sz="0" w:space="0" w:color="auto"/>
        <w:bottom w:val="none" w:sz="0" w:space="0" w:color="auto"/>
        <w:right w:val="none" w:sz="0" w:space="0" w:color="auto"/>
      </w:divBdr>
    </w:div>
    <w:div w:id="923688195">
      <w:bodyDiv w:val="1"/>
      <w:marLeft w:val="0"/>
      <w:marRight w:val="0"/>
      <w:marTop w:val="0"/>
      <w:marBottom w:val="0"/>
      <w:divBdr>
        <w:top w:val="none" w:sz="0" w:space="0" w:color="auto"/>
        <w:left w:val="none" w:sz="0" w:space="0" w:color="auto"/>
        <w:bottom w:val="none" w:sz="0" w:space="0" w:color="auto"/>
        <w:right w:val="none" w:sz="0" w:space="0" w:color="auto"/>
      </w:divBdr>
    </w:div>
    <w:div w:id="1490752723">
      <w:bodyDiv w:val="1"/>
      <w:marLeft w:val="0"/>
      <w:marRight w:val="0"/>
      <w:marTop w:val="0"/>
      <w:marBottom w:val="0"/>
      <w:divBdr>
        <w:top w:val="none" w:sz="0" w:space="0" w:color="auto"/>
        <w:left w:val="none" w:sz="0" w:space="0" w:color="auto"/>
        <w:bottom w:val="none" w:sz="0" w:space="0" w:color="auto"/>
        <w:right w:val="none" w:sz="0" w:space="0" w:color="auto"/>
      </w:divBdr>
    </w:div>
    <w:div w:id="2056537057">
      <w:bodyDiv w:val="1"/>
      <w:marLeft w:val="0"/>
      <w:marRight w:val="0"/>
      <w:marTop w:val="0"/>
      <w:marBottom w:val="0"/>
      <w:divBdr>
        <w:top w:val="none" w:sz="0" w:space="0" w:color="auto"/>
        <w:left w:val="none" w:sz="0" w:space="0" w:color="auto"/>
        <w:bottom w:val="none" w:sz="0" w:space="0" w:color="auto"/>
        <w:right w:val="none" w:sz="0" w:space="0" w:color="auto"/>
      </w:divBdr>
    </w:div>
    <w:div w:id="2100443703">
      <w:bodyDiv w:val="1"/>
      <w:marLeft w:val="0"/>
      <w:marRight w:val="0"/>
      <w:marTop w:val="0"/>
      <w:marBottom w:val="0"/>
      <w:divBdr>
        <w:top w:val="none" w:sz="0" w:space="0" w:color="auto"/>
        <w:left w:val="none" w:sz="0" w:space="0" w:color="auto"/>
        <w:bottom w:val="none" w:sz="0" w:space="0" w:color="auto"/>
        <w:right w:val="none" w:sz="0" w:space="0" w:color="auto"/>
      </w:divBdr>
    </w:div>
    <w:div w:id="21214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ataportal.health.gov.au/"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980E-A609-4927-93DE-3141712A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Submit your IAHP PHC Activity Work Plan (AWP)</vt:lpstr>
    </vt:vector>
  </TitlesOfParts>
  <Company>Department of Immigration and Border Protection</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your IAHP PHC Activity Work Plan (AWP)</dc:title>
  <dc:creator>Joel Dennerley</dc:creator>
  <cp:lastModifiedBy>DUNN, Stuart</cp:lastModifiedBy>
  <cp:revision>33</cp:revision>
  <cp:lastPrinted>2018-06-29T06:11:00Z</cp:lastPrinted>
  <dcterms:created xsi:type="dcterms:W3CDTF">2023-03-08T05:13:00Z</dcterms:created>
  <dcterms:modified xsi:type="dcterms:W3CDTF">2024-05-21T07:09:00Z</dcterms:modified>
</cp:coreProperties>
</file>