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C7A5" w14:textId="77777777" w:rsidR="00F3688D" w:rsidRDefault="007B4CEC" w:rsidP="003F10D2">
      <w:pPr>
        <w:pStyle w:val="Heading1"/>
      </w:pPr>
      <w:r>
        <w:t>Process</w:t>
      </w:r>
      <w:r w:rsidR="006B2F9A">
        <w:t xml:space="preserve"> a</w:t>
      </w:r>
      <w:r w:rsidR="00335DC5">
        <w:t xml:space="preserve">n </w:t>
      </w:r>
      <w:r w:rsidR="00563025">
        <w:t>Indigenous Health</w:t>
      </w:r>
      <w:r w:rsidR="006B2F9A">
        <w:t xml:space="preserve"> </w:t>
      </w:r>
      <w:r w:rsidR="005736A8">
        <w:t xml:space="preserve">Data Asset </w:t>
      </w:r>
      <w:r w:rsidR="00E970BF">
        <w:t xml:space="preserve">Submission </w:t>
      </w:r>
      <w:r w:rsidR="00C21463">
        <w:t>Screencast</w:t>
      </w:r>
      <w:r w:rsidR="001F4B9B" w:rsidRPr="00A71A08">
        <w:t xml:space="preserve"> –</w:t>
      </w:r>
      <w:r w:rsidR="001F4B9B">
        <w:t xml:space="preserve"> Accessible Version</w:t>
      </w:r>
      <w:r w:rsidR="00FC335A">
        <w:t xml:space="preserve"> </w:t>
      </w:r>
    </w:p>
    <w:p w14:paraId="7F8CDACE" w14:textId="77777777" w:rsidR="005D54AA" w:rsidRDefault="005D54AA" w:rsidP="003F10D2">
      <w:pPr>
        <w:pStyle w:val="Header3"/>
      </w:pPr>
      <w:r>
        <w:t>Introduction</w:t>
      </w:r>
    </w:p>
    <w:p w14:paraId="59B3172E" w14:textId="77777777" w:rsidR="00F04072" w:rsidRDefault="003D01BA" w:rsidP="003F10D2">
      <w:r w:rsidRPr="003F10D2">
        <w:t xml:space="preserve">Welcome to the </w:t>
      </w:r>
      <w:r w:rsidR="007B4CEC" w:rsidRPr="00B45FCE">
        <w:rPr>
          <w:i/>
        </w:rPr>
        <w:t>Process</w:t>
      </w:r>
      <w:r w:rsidR="005D6CFE" w:rsidRPr="00B45FCE">
        <w:rPr>
          <w:i/>
        </w:rPr>
        <w:t xml:space="preserve"> a</w:t>
      </w:r>
      <w:r w:rsidR="001562A3" w:rsidRPr="00B45FCE">
        <w:rPr>
          <w:i/>
        </w:rPr>
        <w:t xml:space="preserve">n </w:t>
      </w:r>
      <w:r w:rsidR="00563025">
        <w:rPr>
          <w:i/>
        </w:rPr>
        <w:t>Indigenous Health</w:t>
      </w:r>
      <w:r w:rsidR="005D6CFE" w:rsidRPr="00B45FCE">
        <w:rPr>
          <w:i/>
        </w:rPr>
        <w:t xml:space="preserve"> Data Asset</w:t>
      </w:r>
      <w:r w:rsidR="00E970BF" w:rsidRPr="00B45FCE">
        <w:rPr>
          <w:i/>
        </w:rPr>
        <w:t xml:space="preserve"> Submission</w:t>
      </w:r>
      <w:r w:rsidR="00D829D4" w:rsidRPr="003F10D2">
        <w:t xml:space="preserve"> </w:t>
      </w:r>
      <w:r w:rsidR="00E970BF" w:rsidRPr="003F10D2">
        <w:t>screencast</w:t>
      </w:r>
      <w:r w:rsidRPr="003F10D2">
        <w:t>.</w:t>
      </w:r>
    </w:p>
    <w:p w14:paraId="468D33C6" w14:textId="736D686C" w:rsidR="003F10D2" w:rsidRPr="003F10D2" w:rsidRDefault="003F10D2" w:rsidP="003F10D2">
      <w:r w:rsidRPr="003F10D2">
        <w:t>This screencast shows AIHW (nKPI and OSR) and Department of Health</w:t>
      </w:r>
      <w:r w:rsidR="00F802AB">
        <w:t xml:space="preserve"> and Aged Care</w:t>
      </w:r>
      <w:r w:rsidRPr="003F10D2">
        <w:t xml:space="preserve"> (HCP) </w:t>
      </w:r>
      <w:r w:rsidR="006867A5" w:rsidRPr="006867A5">
        <w:rPr>
          <w:i/>
        </w:rPr>
        <w:t>Data</w:t>
      </w:r>
      <w:r w:rsidRPr="006867A5">
        <w:rPr>
          <w:i/>
        </w:rPr>
        <w:t xml:space="preserve"> </w:t>
      </w:r>
      <w:r w:rsidR="006867A5" w:rsidRPr="006867A5">
        <w:rPr>
          <w:i/>
        </w:rPr>
        <w:t>Receivers</w:t>
      </w:r>
      <w:r w:rsidRPr="003F10D2">
        <w:t xml:space="preserve"> how to process a data asset that has been submitted by a </w:t>
      </w:r>
      <w:r w:rsidR="000C5E3D">
        <w:t>h</w:t>
      </w:r>
      <w:r w:rsidRPr="003F10D2">
        <w:t xml:space="preserve">ealth </w:t>
      </w:r>
      <w:r w:rsidR="000C5E3D">
        <w:t>s</w:t>
      </w:r>
      <w:r w:rsidRPr="003F10D2">
        <w:t xml:space="preserve">ervice. This screencast will also show </w:t>
      </w:r>
      <w:r w:rsidR="006867A5" w:rsidRPr="006867A5">
        <w:rPr>
          <w:i/>
        </w:rPr>
        <w:t>Data Receivers</w:t>
      </w:r>
      <w:r w:rsidRPr="003F10D2">
        <w:t xml:space="preserve"> how to mark outstanding </w:t>
      </w:r>
      <w:r w:rsidR="006867A5">
        <w:t xml:space="preserve">data </w:t>
      </w:r>
      <w:r w:rsidRPr="003F10D2">
        <w:t xml:space="preserve">validation flags and </w:t>
      </w:r>
      <w:r w:rsidR="000C5E3D">
        <w:t>h</w:t>
      </w:r>
      <w:r w:rsidRPr="003F10D2">
        <w:t xml:space="preserve">ealth </w:t>
      </w:r>
      <w:r w:rsidR="000C5E3D">
        <w:t>s</w:t>
      </w:r>
      <w:r w:rsidRPr="003F10D2">
        <w:t xml:space="preserve">ervice comments as complete, as part of accepting or excluding </w:t>
      </w:r>
      <w:r w:rsidR="000C5E3D">
        <w:t>h</w:t>
      </w:r>
      <w:r w:rsidRPr="003F10D2">
        <w:t xml:space="preserve">ealth </w:t>
      </w:r>
      <w:r w:rsidR="000C5E3D">
        <w:t>s</w:t>
      </w:r>
      <w:r w:rsidRPr="003F10D2">
        <w:t>ervice data.</w:t>
      </w:r>
    </w:p>
    <w:p w14:paraId="32081AA2" w14:textId="77777777" w:rsidR="006F106C" w:rsidRDefault="003F10D2" w:rsidP="003F10D2">
      <w:pPr>
        <w:pStyle w:val="Header3"/>
      </w:pPr>
      <w:r>
        <w:rPr>
          <w:rFonts w:eastAsiaTheme="minorHAnsi"/>
        </w:rPr>
        <w:t>O</w:t>
      </w:r>
      <w:r w:rsidR="006F106C">
        <w:t>verview</w:t>
      </w:r>
    </w:p>
    <w:p w14:paraId="7BF27B4F" w14:textId="0D4423B2" w:rsidR="005843BD" w:rsidRPr="003F10D2" w:rsidRDefault="005843BD" w:rsidP="003F10D2">
      <w:r w:rsidRPr="003F10D2">
        <w:t xml:space="preserve">Once a data asset has been approved by the </w:t>
      </w:r>
      <w:r w:rsidR="000C5E3D">
        <w:t>h</w:t>
      </w:r>
      <w:r w:rsidRPr="003F10D2">
        <w:t xml:space="preserve">ealth </w:t>
      </w:r>
      <w:r w:rsidR="000C5E3D">
        <w:t>s</w:t>
      </w:r>
      <w:r w:rsidRPr="003F10D2">
        <w:t xml:space="preserve">ervice’s CEO or representative, it will be sent to you for processing as the external </w:t>
      </w:r>
      <w:r w:rsidRPr="003F10D2">
        <w:rPr>
          <w:i/>
        </w:rPr>
        <w:t>Data Receiver</w:t>
      </w:r>
      <w:r w:rsidRPr="003F10D2">
        <w:t xml:space="preserve"> in the </w:t>
      </w:r>
      <w:r w:rsidR="00BC7018">
        <w:t xml:space="preserve">Data </w:t>
      </w:r>
      <w:r w:rsidRPr="003F10D2">
        <w:t>Portal.</w:t>
      </w:r>
      <w:r w:rsidRPr="003F10D2">
        <w:cr/>
      </w:r>
      <w:r w:rsidRPr="003F10D2">
        <w:cr/>
        <w:t xml:space="preserve">The first step of processing the data asset in the </w:t>
      </w:r>
      <w:r w:rsidR="00BC7018">
        <w:t xml:space="preserve">Data </w:t>
      </w:r>
      <w:r w:rsidRPr="003F10D2">
        <w:t xml:space="preserve">Portal is to review the data asset to ensure the information contained within, </w:t>
      </w:r>
      <w:r w:rsidR="00F55ED9" w:rsidRPr="003F10D2">
        <w:t>specifically</w:t>
      </w:r>
      <w:r w:rsidRPr="003F10D2">
        <w:t xml:space="preserve"> the reporting data in the attached </w:t>
      </w:r>
      <w:r w:rsidR="00CB28B6">
        <w:t>form</w:t>
      </w:r>
      <w:r w:rsidRPr="003F10D2">
        <w:t>, is complete and correct.</w:t>
      </w:r>
      <w:r w:rsidRPr="003F10D2">
        <w:cr/>
      </w:r>
      <w:r w:rsidRPr="003F10D2">
        <w:cr/>
        <w:t xml:space="preserve">Once you have reviewed the data asset and the attached </w:t>
      </w:r>
      <w:r w:rsidR="00CB28B6">
        <w:t>form</w:t>
      </w:r>
      <w:r w:rsidRPr="003F10D2">
        <w:t xml:space="preserve"> and are comfortable with the content, the data asset can be processed as complete, ready to be used in any publications and reports as required. </w:t>
      </w:r>
      <w:r w:rsidRPr="003F10D2">
        <w:cr/>
      </w:r>
      <w:r w:rsidRPr="003F10D2">
        <w:cr/>
        <w:t xml:space="preserve">The steps required to process an </w:t>
      </w:r>
      <w:r w:rsidR="00563025">
        <w:t xml:space="preserve">Indigenous </w:t>
      </w:r>
      <w:r w:rsidR="00FC40B2">
        <w:t>h</w:t>
      </w:r>
      <w:r w:rsidR="00563025">
        <w:t>ealth</w:t>
      </w:r>
      <w:r w:rsidRPr="003F10D2">
        <w:t xml:space="preserve"> data asset submission are the same, whether the data asset is being processed at the end of the linear data asset submission workflow, or it has been through the exception reporting process.</w:t>
      </w:r>
    </w:p>
    <w:p w14:paraId="20718A53" w14:textId="77777777" w:rsidR="00297732" w:rsidRDefault="00297732">
      <w:pPr>
        <w:rPr>
          <w:rFonts w:eastAsia="Times New Roman" w:cs="Arial"/>
          <w:b/>
          <w:bCs/>
          <w:color w:val="000000" w:themeColor="text1"/>
          <w:sz w:val="26"/>
          <w:shd w:val="clear" w:color="auto" w:fill="FFFFFF"/>
        </w:rPr>
      </w:pPr>
      <w:r>
        <w:br w:type="page"/>
      </w:r>
    </w:p>
    <w:p w14:paraId="3ED4591C" w14:textId="77777777" w:rsidR="005D54AA" w:rsidRDefault="007B4CEC" w:rsidP="003F10D2">
      <w:pPr>
        <w:pStyle w:val="Header3"/>
      </w:pPr>
      <w:r>
        <w:lastRenderedPageBreak/>
        <w:t>Process</w:t>
      </w:r>
      <w:r w:rsidR="005D6CFE">
        <w:t xml:space="preserve"> a</w:t>
      </w:r>
      <w:r w:rsidR="001562A3">
        <w:t xml:space="preserve">n </w:t>
      </w:r>
      <w:r w:rsidR="00563025">
        <w:t>Indigenous Health</w:t>
      </w:r>
      <w:r w:rsidR="005D6CFE">
        <w:t xml:space="preserve"> Data Asset</w:t>
      </w:r>
      <w:r w:rsidR="00E970BF">
        <w:t xml:space="preserve"> Submission</w:t>
      </w:r>
      <w:r>
        <w:t xml:space="preserve"> (the AIHW)</w:t>
      </w:r>
    </w:p>
    <w:p w14:paraId="736B6188" w14:textId="60F8823E" w:rsidR="006D2B7E" w:rsidRDefault="006D2B7E" w:rsidP="003F10D2">
      <w:r w:rsidRPr="003F10D2">
        <w:t xml:space="preserve">Once you have received an approved data asset from a </w:t>
      </w:r>
      <w:r w:rsidR="000C5E3D">
        <w:t>h</w:t>
      </w:r>
      <w:r w:rsidRPr="003F10D2">
        <w:t xml:space="preserve">ealth </w:t>
      </w:r>
      <w:r w:rsidR="000C5E3D">
        <w:t>s</w:t>
      </w:r>
      <w:r w:rsidRPr="003F10D2">
        <w:t>ervice (whether it has been through exception reporting first or not) y</w:t>
      </w:r>
      <w:r w:rsidR="00041AF7" w:rsidRPr="003F10D2">
        <w:t xml:space="preserve">ou will need to review the data </w:t>
      </w:r>
      <w:r w:rsidRPr="003F10D2">
        <w:t xml:space="preserve">asset in the </w:t>
      </w:r>
      <w:r w:rsidR="00BC7018">
        <w:t xml:space="preserve">Data </w:t>
      </w:r>
      <w:r w:rsidRPr="003F10D2">
        <w:t>Portal to ensure it is ready to go to the next step of the process.</w:t>
      </w:r>
      <w:r w:rsidRPr="006D2B7E">
        <w:t xml:space="preserve"> </w:t>
      </w:r>
      <w:r w:rsidRPr="006D2B7E">
        <w:cr/>
      </w:r>
      <w:r w:rsidRPr="006D2B7E">
        <w:cr/>
      </w:r>
      <w:r w:rsidRPr="006D2B7E">
        <w:rPr>
          <w:b/>
        </w:rPr>
        <w:t>Note:</w:t>
      </w:r>
      <w:r w:rsidRPr="006D2B7E">
        <w:t xml:space="preserve"> To be eligible for processing, the data asset’s status will need to be </w:t>
      </w:r>
      <w:r w:rsidRPr="00041AF7">
        <w:rPr>
          <w:i/>
        </w:rPr>
        <w:t>Submission Approved</w:t>
      </w:r>
      <w:r w:rsidRPr="006D2B7E">
        <w:t>.</w:t>
      </w:r>
    </w:p>
    <w:p w14:paraId="7989A0DA" w14:textId="249221CA" w:rsidR="005D6CFE" w:rsidRDefault="00E970BF" w:rsidP="003F10D2">
      <w:pPr>
        <w:pStyle w:val="ListParagraph"/>
        <w:numPr>
          <w:ilvl w:val="0"/>
          <w:numId w:val="27"/>
        </w:numPr>
      </w:pPr>
      <w:r>
        <w:t xml:space="preserve">To </w:t>
      </w:r>
      <w:r w:rsidR="00191261">
        <w:t>process</w:t>
      </w:r>
      <w:r>
        <w:t xml:space="preserve"> a data asset in the </w:t>
      </w:r>
      <w:r w:rsidR="00BC7018">
        <w:t xml:space="preserve">Data </w:t>
      </w:r>
      <w:r>
        <w:t xml:space="preserve">Portal, you must first navigate to the Data Portal </w:t>
      </w:r>
      <w:r w:rsidR="00FC40B2">
        <w:t>h</w:t>
      </w:r>
      <w:r>
        <w:t xml:space="preserve">ome screen and search for the data asset to be </w:t>
      </w:r>
      <w:r w:rsidR="00191261">
        <w:t>processed</w:t>
      </w:r>
      <w:r>
        <w:t>.</w:t>
      </w:r>
    </w:p>
    <w:p w14:paraId="2FECD48A" w14:textId="77777777" w:rsidR="00E970BF" w:rsidRDefault="00E970BF" w:rsidP="003F10D2">
      <w:r>
        <w:t xml:space="preserve">Data assets matching your search criteria will then display in the </w:t>
      </w:r>
      <w:r w:rsidRPr="00BE5C3F">
        <w:t>Data Assets</w:t>
      </w:r>
      <w:r>
        <w:t xml:space="preserve"> section of the screen.</w:t>
      </w:r>
    </w:p>
    <w:p w14:paraId="2BA28A06" w14:textId="77777777" w:rsidR="00F726C7" w:rsidRDefault="00F726C7" w:rsidP="003F10D2">
      <w:pPr>
        <w:pStyle w:val="ListParagraph"/>
        <w:numPr>
          <w:ilvl w:val="0"/>
          <w:numId w:val="27"/>
        </w:numPr>
      </w:pPr>
      <w:r>
        <w:t xml:space="preserve">Select the data asset to be </w:t>
      </w:r>
      <w:r w:rsidR="00191261">
        <w:t>processed</w:t>
      </w:r>
      <w:r>
        <w:t>.</w:t>
      </w:r>
    </w:p>
    <w:p w14:paraId="1595E47F" w14:textId="77777777" w:rsidR="00E970BF" w:rsidRDefault="00E970BF" w:rsidP="003F10D2">
      <w:pPr>
        <w:pStyle w:val="ListParagraph"/>
        <w:numPr>
          <w:ilvl w:val="0"/>
          <w:numId w:val="27"/>
        </w:numPr>
      </w:pPr>
      <w:r>
        <w:t xml:space="preserve">To </w:t>
      </w:r>
      <w:r w:rsidR="00191261">
        <w:t xml:space="preserve">change the status of the data asset, </w:t>
      </w:r>
      <w:r w:rsidR="00271BF9">
        <w:t xml:space="preserve">in the Data Asset Details screen, </w:t>
      </w:r>
      <w:r w:rsidR="00C92658">
        <w:t xml:space="preserve">select the </w:t>
      </w:r>
      <w:r w:rsidR="006D2B7E">
        <w:rPr>
          <w:b/>
        </w:rPr>
        <w:t>Change</w:t>
      </w:r>
      <w:r w:rsidR="00C92658">
        <w:t xml:space="preserve"> </w:t>
      </w:r>
      <w:r w:rsidR="003F10D2" w:rsidRPr="003F10D2">
        <w:rPr>
          <w:b/>
        </w:rPr>
        <w:t>Status</w:t>
      </w:r>
      <w:r w:rsidR="003F10D2">
        <w:t xml:space="preserve"> </w:t>
      </w:r>
      <w:r w:rsidR="00C92658">
        <w:t>button at the top of the screen.</w:t>
      </w:r>
    </w:p>
    <w:p w14:paraId="326B8739" w14:textId="77777777" w:rsidR="006D2B7E" w:rsidRPr="00191261" w:rsidRDefault="00041AF7" w:rsidP="003F10D2">
      <w:r>
        <w:t>You</w:t>
      </w:r>
      <w:r w:rsidR="006D2B7E" w:rsidRPr="006D2B7E">
        <w:t xml:space="preserve"> </w:t>
      </w:r>
      <w:r>
        <w:t>should now</w:t>
      </w:r>
      <w:r w:rsidR="006D2B7E" w:rsidRPr="006D2B7E">
        <w:t xml:space="preserve"> progress the data asset on to the status of </w:t>
      </w:r>
      <w:r w:rsidR="006D2B7E" w:rsidRPr="00041AF7">
        <w:rPr>
          <w:i/>
        </w:rPr>
        <w:t>Ready for Processing</w:t>
      </w:r>
      <w:r w:rsidR="006D2B7E" w:rsidRPr="006D2B7E">
        <w:t>. This allows you to examine the d</w:t>
      </w:r>
      <w:r w:rsidR="00CB28B6">
        <w:t>ata asset and attached form</w:t>
      </w:r>
      <w:r w:rsidR="006D2B7E" w:rsidRPr="006D2B7E">
        <w:t xml:space="preserve">, as well as move the data asset on to the status of </w:t>
      </w:r>
      <w:r w:rsidR="006D2B7E" w:rsidRPr="00041AF7">
        <w:rPr>
          <w:i/>
        </w:rPr>
        <w:t>Processed</w:t>
      </w:r>
      <w:r w:rsidR="006D2B7E" w:rsidRPr="006D2B7E">
        <w:t>.</w:t>
      </w:r>
    </w:p>
    <w:p w14:paraId="622F5A31" w14:textId="77777777" w:rsidR="00786671" w:rsidRDefault="00191261" w:rsidP="003F10D2">
      <w:pPr>
        <w:pStyle w:val="ListParagraph"/>
        <w:numPr>
          <w:ilvl w:val="0"/>
          <w:numId w:val="27"/>
        </w:numPr>
        <w:rPr>
          <w:shd w:val="clear" w:color="auto" w:fill="FFFFFF"/>
        </w:rPr>
      </w:pPr>
      <w:r>
        <w:rPr>
          <w:shd w:val="clear" w:color="auto" w:fill="FFFFFF"/>
        </w:rPr>
        <w:t xml:space="preserve">To do this, select </w:t>
      </w:r>
      <w:r w:rsidR="002F7782">
        <w:rPr>
          <w:shd w:val="clear" w:color="auto" w:fill="FFFFFF"/>
        </w:rPr>
        <w:t xml:space="preserve">the down arrow in the </w:t>
      </w:r>
      <w:r w:rsidR="002F7782" w:rsidRPr="002F7782">
        <w:rPr>
          <w:b/>
          <w:shd w:val="clear" w:color="auto" w:fill="FFFFFF"/>
        </w:rPr>
        <w:t>Action</w:t>
      </w:r>
      <w:r w:rsidR="002F7782">
        <w:rPr>
          <w:shd w:val="clear" w:color="auto" w:fill="FFFFFF"/>
        </w:rPr>
        <w:t xml:space="preserve"> field in the </w:t>
      </w:r>
      <w:r w:rsidR="002F7782" w:rsidRPr="003F10D2">
        <w:rPr>
          <w:shd w:val="clear" w:color="auto" w:fill="FFFFFF"/>
        </w:rPr>
        <w:t>Change Data Asset Status</w:t>
      </w:r>
      <w:r w:rsidR="002F7782">
        <w:rPr>
          <w:shd w:val="clear" w:color="auto" w:fill="FFFFFF"/>
        </w:rPr>
        <w:t xml:space="preserve"> </w:t>
      </w:r>
      <w:r w:rsidR="003F10D2">
        <w:rPr>
          <w:shd w:val="clear" w:color="auto" w:fill="FFFFFF"/>
        </w:rPr>
        <w:t>dialog box</w:t>
      </w:r>
      <w:r w:rsidR="002F7782">
        <w:rPr>
          <w:shd w:val="clear" w:color="auto" w:fill="FFFFFF"/>
        </w:rPr>
        <w:t xml:space="preserve"> and select </w:t>
      </w:r>
      <w:r w:rsidRPr="00191261">
        <w:rPr>
          <w:i/>
          <w:shd w:val="clear" w:color="auto" w:fill="FFFFFF"/>
        </w:rPr>
        <w:t>Ready for Processing</w:t>
      </w:r>
      <w:r w:rsidR="002F7782">
        <w:rPr>
          <w:shd w:val="clear" w:color="auto" w:fill="FFFFFF"/>
        </w:rPr>
        <w:t>.</w:t>
      </w:r>
    </w:p>
    <w:p w14:paraId="4DA3E463" w14:textId="77777777" w:rsidR="00090A57" w:rsidRDefault="00090A57" w:rsidP="003F10D2">
      <w:pPr>
        <w:pStyle w:val="ListParagraph"/>
        <w:numPr>
          <w:ilvl w:val="0"/>
          <w:numId w:val="27"/>
        </w:numPr>
        <w:rPr>
          <w:shd w:val="clear" w:color="auto" w:fill="FFFFFF"/>
        </w:rPr>
      </w:pPr>
      <w:r>
        <w:rPr>
          <w:shd w:val="clear" w:color="auto" w:fill="FFFFFF"/>
        </w:rPr>
        <w:t xml:space="preserve">To </w:t>
      </w:r>
      <w:r w:rsidR="002E7A69">
        <w:rPr>
          <w:shd w:val="clear" w:color="auto" w:fill="FFFFFF"/>
        </w:rPr>
        <w:t>continue</w:t>
      </w:r>
      <w:r>
        <w:rPr>
          <w:shd w:val="clear" w:color="auto" w:fill="FFFFFF"/>
        </w:rPr>
        <w:t xml:space="preserve">, select the </w:t>
      </w:r>
      <w:r w:rsidR="002E7A69">
        <w:rPr>
          <w:b/>
          <w:shd w:val="clear" w:color="auto" w:fill="FFFFFF"/>
        </w:rPr>
        <w:t>Ready for Processing</w:t>
      </w:r>
      <w:r>
        <w:rPr>
          <w:shd w:val="clear" w:color="auto" w:fill="FFFFFF"/>
        </w:rPr>
        <w:t xml:space="preserve"> button.</w:t>
      </w:r>
    </w:p>
    <w:p w14:paraId="237D9AF5" w14:textId="474BFB8F" w:rsidR="00C90894" w:rsidRPr="00C90894" w:rsidRDefault="00C90894" w:rsidP="003F10D2">
      <w:pPr>
        <w:rPr>
          <w:shd w:val="clear" w:color="auto" w:fill="FFFFFF"/>
        </w:rPr>
      </w:pPr>
      <w:r w:rsidRPr="00C90894">
        <w:rPr>
          <w:shd w:val="clear" w:color="auto" w:fill="FFFFFF"/>
        </w:rPr>
        <w:t xml:space="preserve">The data asset’s status will change to </w:t>
      </w:r>
      <w:r w:rsidRPr="00041AF7">
        <w:rPr>
          <w:i/>
          <w:shd w:val="clear" w:color="auto" w:fill="FFFFFF"/>
        </w:rPr>
        <w:t>Ready for Processing</w:t>
      </w:r>
      <w:r w:rsidR="00F802AB">
        <w:rPr>
          <w:i/>
          <w:shd w:val="clear" w:color="auto" w:fill="FFFFFF"/>
        </w:rPr>
        <w:t>,</w:t>
      </w:r>
      <w:r w:rsidRPr="00C90894">
        <w:rPr>
          <w:shd w:val="clear" w:color="auto" w:fill="FFFFFF"/>
        </w:rPr>
        <w:t xml:space="preserve"> and it is now ready to be processed. </w:t>
      </w:r>
      <w:r w:rsidRPr="00C90894">
        <w:rPr>
          <w:shd w:val="clear" w:color="auto" w:fill="FFFFFF"/>
        </w:rPr>
        <w:cr/>
      </w:r>
      <w:r w:rsidRPr="00C90894">
        <w:rPr>
          <w:shd w:val="clear" w:color="auto" w:fill="FFFFFF"/>
        </w:rPr>
        <w:cr/>
      </w:r>
      <w:r w:rsidRPr="00C90894">
        <w:rPr>
          <w:b/>
          <w:shd w:val="clear" w:color="auto" w:fill="FFFFFF"/>
        </w:rPr>
        <w:t>Note:</w:t>
      </w:r>
      <w:r w:rsidRPr="00C90894">
        <w:rPr>
          <w:shd w:val="clear" w:color="auto" w:fill="FFFFFF"/>
        </w:rPr>
        <w:t xml:space="preserve"> By moving the data asset from </w:t>
      </w:r>
      <w:r w:rsidRPr="00041AF7">
        <w:rPr>
          <w:i/>
          <w:shd w:val="clear" w:color="auto" w:fill="FFFFFF"/>
        </w:rPr>
        <w:t>Submission Approved</w:t>
      </w:r>
      <w:r w:rsidRPr="00C90894">
        <w:rPr>
          <w:shd w:val="clear" w:color="auto" w:fill="FFFFFF"/>
        </w:rPr>
        <w:t xml:space="preserve"> to </w:t>
      </w:r>
      <w:r w:rsidRPr="00041AF7">
        <w:rPr>
          <w:i/>
          <w:shd w:val="clear" w:color="auto" w:fill="FFFFFF"/>
        </w:rPr>
        <w:t>Ready for Processing</w:t>
      </w:r>
      <w:r w:rsidRPr="00C90894">
        <w:rPr>
          <w:shd w:val="clear" w:color="auto" w:fill="FFFFFF"/>
        </w:rPr>
        <w:t xml:space="preserve">, the data asset moves from the backlog to being viewable and editable so you can leave comments for the applicable </w:t>
      </w:r>
      <w:r w:rsidR="000C5E3D">
        <w:rPr>
          <w:shd w:val="clear" w:color="auto" w:fill="FFFFFF"/>
        </w:rPr>
        <w:t>h</w:t>
      </w:r>
      <w:r w:rsidRPr="00C90894">
        <w:rPr>
          <w:shd w:val="clear" w:color="auto" w:fill="FFFFFF"/>
        </w:rPr>
        <w:t xml:space="preserve">ealth </w:t>
      </w:r>
      <w:r w:rsidR="000C5E3D">
        <w:rPr>
          <w:shd w:val="clear" w:color="auto" w:fill="FFFFFF"/>
        </w:rPr>
        <w:t>s</w:t>
      </w:r>
      <w:r w:rsidRPr="00C90894">
        <w:rPr>
          <w:shd w:val="clear" w:color="auto" w:fill="FFFFFF"/>
        </w:rPr>
        <w:t>ervice.</w:t>
      </w:r>
    </w:p>
    <w:p w14:paraId="24AE7F8C" w14:textId="1478F62A" w:rsidR="00090A57" w:rsidRDefault="002E7A69" w:rsidP="003F10D2">
      <w:pPr>
        <w:pStyle w:val="ListParagraph"/>
        <w:numPr>
          <w:ilvl w:val="0"/>
          <w:numId w:val="27"/>
        </w:numPr>
        <w:rPr>
          <w:shd w:val="clear" w:color="auto" w:fill="FFFFFF"/>
        </w:rPr>
      </w:pPr>
      <w:r>
        <w:rPr>
          <w:shd w:val="clear" w:color="auto" w:fill="FFFFFF"/>
        </w:rPr>
        <w:t xml:space="preserve">From the Data Portal </w:t>
      </w:r>
      <w:r w:rsidR="00FC40B2">
        <w:rPr>
          <w:shd w:val="clear" w:color="auto" w:fill="FFFFFF"/>
        </w:rPr>
        <w:t>h</w:t>
      </w:r>
      <w:r>
        <w:rPr>
          <w:shd w:val="clear" w:color="auto" w:fill="FFFFFF"/>
        </w:rPr>
        <w:t xml:space="preserve">ome screen, select the data asset (its status will be </w:t>
      </w:r>
      <w:r w:rsidRPr="002E7A69">
        <w:rPr>
          <w:i/>
          <w:shd w:val="clear" w:color="auto" w:fill="FFFFFF"/>
        </w:rPr>
        <w:t>Ready for Processing</w:t>
      </w:r>
      <w:r w:rsidR="0032408B">
        <w:rPr>
          <w:shd w:val="clear" w:color="auto" w:fill="FFFFFF"/>
        </w:rPr>
        <w:t>)</w:t>
      </w:r>
      <w:r>
        <w:rPr>
          <w:shd w:val="clear" w:color="auto" w:fill="FFFFFF"/>
        </w:rPr>
        <w:t>.</w:t>
      </w:r>
    </w:p>
    <w:p w14:paraId="555FEFD4" w14:textId="77777777" w:rsidR="00CD6D0A" w:rsidRDefault="00CD6D0A" w:rsidP="003F10D2">
      <w:pPr>
        <w:pStyle w:val="ListParagraph"/>
        <w:numPr>
          <w:ilvl w:val="0"/>
          <w:numId w:val="27"/>
        </w:numPr>
      </w:pPr>
      <w:r>
        <w:t xml:space="preserve">To change the status of the data asset, select the </w:t>
      </w:r>
      <w:r w:rsidR="00041AF7">
        <w:rPr>
          <w:b/>
        </w:rPr>
        <w:t>Change</w:t>
      </w:r>
      <w:r>
        <w:t xml:space="preserve"> </w:t>
      </w:r>
      <w:r w:rsidR="003F10D2" w:rsidRPr="003F10D2">
        <w:rPr>
          <w:b/>
        </w:rPr>
        <w:t>Status</w:t>
      </w:r>
      <w:r w:rsidR="003F10D2">
        <w:t xml:space="preserve"> </w:t>
      </w:r>
      <w:r>
        <w:t>button at the top or bottom of the Data Asset Details screen.</w:t>
      </w:r>
    </w:p>
    <w:p w14:paraId="5C808D47" w14:textId="77777777" w:rsidR="00CD6D0A" w:rsidRDefault="00CD6D0A" w:rsidP="003F10D2">
      <w:pPr>
        <w:pStyle w:val="ListParagraph"/>
        <w:numPr>
          <w:ilvl w:val="0"/>
          <w:numId w:val="27"/>
        </w:numPr>
      </w:pPr>
      <w:r>
        <w:t xml:space="preserve">To continue, select the down arrow in the </w:t>
      </w:r>
      <w:r w:rsidRPr="00CD6D0A">
        <w:rPr>
          <w:b/>
        </w:rPr>
        <w:t>Action</w:t>
      </w:r>
      <w:r>
        <w:t xml:space="preserve"> field in the </w:t>
      </w:r>
      <w:r w:rsidRPr="003F10D2">
        <w:t>Change Data Asset Status</w:t>
      </w:r>
      <w:r>
        <w:t xml:space="preserve"> </w:t>
      </w:r>
      <w:r w:rsidR="003F10D2">
        <w:t>dialog box</w:t>
      </w:r>
      <w:r>
        <w:t xml:space="preserve"> and select </w:t>
      </w:r>
      <w:r>
        <w:rPr>
          <w:i/>
        </w:rPr>
        <w:t>Process</w:t>
      </w:r>
      <w:r>
        <w:t>.</w:t>
      </w:r>
    </w:p>
    <w:p w14:paraId="4AB8C0E6" w14:textId="77777777" w:rsidR="00CD6D0A" w:rsidRDefault="00CD6D0A" w:rsidP="003F10D2">
      <w:pPr>
        <w:pStyle w:val="ListParagraph"/>
        <w:numPr>
          <w:ilvl w:val="0"/>
          <w:numId w:val="27"/>
        </w:numPr>
      </w:pPr>
      <w:r>
        <w:t xml:space="preserve">Enter a comment in the </w:t>
      </w:r>
      <w:r w:rsidRPr="00CD6D0A">
        <w:rPr>
          <w:b/>
        </w:rPr>
        <w:t>Comment</w:t>
      </w:r>
      <w:r>
        <w:t xml:space="preserve"> field if needed.</w:t>
      </w:r>
    </w:p>
    <w:p w14:paraId="2CCD04CF" w14:textId="77777777" w:rsidR="00CD4F97" w:rsidRPr="00CD4F97" w:rsidRDefault="00CD4F97" w:rsidP="003F10D2">
      <w:pPr>
        <w:rPr>
          <w:b/>
          <w:shd w:val="clear" w:color="auto" w:fill="FFFFFF"/>
        </w:rPr>
      </w:pPr>
      <w:r w:rsidRPr="00CD4F97">
        <w:rPr>
          <w:b/>
          <w:shd w:val="clear" w:color="auto" w:fill="FFFFFF"/>
        </w:rPr>
        <w:t xml:space="preserve">Note: </w:t>
      </w:r>
      <w:r w:rsidRPr="00CD4F97">
        <w:rPr>
          <w:shd w:val="clear" w:color="auto" w:fill="FFFFFF"/>
        </w:rPr>
        <w:t xml:space="preserve">To save the data asset as a draft without sending it on to the next stage of the process, select the </w:t>
      </w:r>
      <w:r w:rsidRPr="00374F04">
        <w:rPr>
          <w:i/>
          <w:shd w:val="clear" w:color="auto" w:fill="FFFFFF"/>
        </w:rPr>
        <w:t>Save</w:t>
      </w:r>
      <w:r w:rsidRPr="00CD4F97">
        <w:rPr>
          <w:b/>
          <w:shd w:val="clear" w:color="auto" w:fill="FFFFFF"/>
        </w:rPr>
        <w:t xml:space="preserve"> </w:t>
      </w:r>
      <w:r w:rsidRPr="00CD4F97">
        <w:rPr>
          <w:shd w:val="clear" w:color="auto" w:fill="FFFFFF"/>
        </w:rPr>
        <w:t>button.</w:t>
      </w:r>
    </w:p>
    <w:p w14:paraId="503E3717" w14:textId="77777777" w:rsidR="00CD4F97" w:rsidRDefault="00CD4F97" w:rsidP="003F10D2">
      <w:pPr>
        <w:pStyle w:val="ListParagraph"/>
        <w:numPr>
          <w:ilvl w:val="0"/>
          <w:numId w:val="27"/>
        </w:numPr>
        <w:rPr>
          <w:shd w:val="clear" w:color="auto" w:fill="FFFFFF"/>
        </w:rPr>
      </w:pPr>
      <w:r>
        <w:rPr>
          <w:shd w:val="clear" w:color="auto" w:fill="FFFFFF"/>
        </w:rPr>
        <w:t xml:space="preserve">To process the data asset as complete, select the </w:t>
      </w:r>
      <w:r>
        <w:rPr>
          <w:b/>
          <w:shd w:val="clear" w:color="auto" w:fill="FFFFFF"/>
        </w:rPr>
        <w:t>Process</w:t>
      </w:r>
      <w:r>
        <w:rPr>
          <w:shd w:val="clear" w:color="auto" w:fill="FFFFFF"/>
        </w:rPr>
        <w:t xml:space="preserve"> button.</w:t>
      </w:r>
    </w:p>
    <w:p w14:paraId="7DD4488A" w14:textId="77777777" w:rsidR="00D70F1B" w:rsidRDefault="00D70F1B" w:rsidP="003F10D2">
      <w:r w:rsidRPr="00D70F1B">
        <w:t xml:space="preserve">The data asset’s status will change to </w:t>
      </w:r>
      <w:r w:rsidRPr="006F2555">
        <w:rPr>
          <w:i/>
        </w:rPr>
        <w:t>Processed</w:t>
      </w:r>
      <w:r w:rsidRPr="00D70F1B">
        <w:t xml:space="preserve"> and the processing of the data asset is now complete. </w:t>
      </w:r>
      <w:r w:rsidRPr="00D70F1B">
        <w:cr/>
      </w:r>
      <w:r w:rsidRPr="00D70F1B">
        <w:lastRenderedPageBreak/>
        <w:cr/>
        <w:t xml:space="preserve">The information within the </w:t>
      </w:r>
      <w:r w:rsidR="00CB28B6">
        <w:t>form</w:t>
      </w:r>
      <w:r w:rsidRPr="00D70F1B">
        <w:t xml:space="preserve"> attached to the data asset can now be used in any publications that need to be produced and made available to users of the </w:t>
      </w:r>
      <w:r w:rsidR="00BC7018">
        <w:t xml:space="preserve">Data </w:t>
      </w:r>
      <w:r w:rsidRPr="00D70F1B">
        <w:t>Portal.</w:t>
      </w:r>
    </w:p>
    <w:p w14:paraId="53EFD882" w14:textId="77777777" w:rsidR="002C7E90" w:rsidRPr="002C7E90" w:rsidRDefault="002C7E90" w:rsidP="003F10D2">
      <w:pPr>
        <w:pStyle w:val="Header3"/>
      </w:pPr>
      <w:r w:rsidRPr="002C7E90">
        <w:t>Marking Comments as Complete - Data Acceptance or Exclusion</w:t>
      </w:r>
    </w:p>
    <w:p w14:paraId="3351CF2A" w14:textId="661FF625" w:rsidR="002C7E90" w:rsidRDefault="002C7E90" w:rsidP="003F10D2">
      <w:r w:rsidRPr="002C7E90">
        <w:t xml:space="preserve">When a data asset is submitted by a </w:t>
      </w:r>
      <w:r w:rsidR="000C5E3D">
        <w:t>h</w:t>
      </w:r>
      <w:r w:rsidRPr="002C7E90">
        <w:t xml:space="preserve">ealth </w:t>
      </w:r>
      <w:r w:rsidR="000C5E3D">
        <w:t>s</w:t>
      </w:r>
      <w:r w:rsidRPr="002C7E90">
        <w:t xml:space="preserve">ervice as part of exception reporting, the </w:t>
      </w:r>
      <w:r w:rsidR="000C5E3D">
        <w:t>h</w:t>
      </w:r>
      <w:r w:rsidRPr="002C7E90">
        <w:t xml:space="preserve">ealth </w:t>
      </w:r>
      <w:r w:rsidR="000C5E3D">
        <w:t>s</w:t>
      </w:r>
      <w:r w:rsidRPr="002C7E90">
        <w:t xml:space="preserve">ervice may leave </w:t>
      </w:r>
      <w:r w:rsidR="00297732">
        <w:t>responses</w:t>
      </w:r>
      <w:r w:rsidRPr="002C7E90">
        <w:t xml:space="preserve"> against </w:t>
      </w:r>
      <w:r w:rsidR="006867A5">
        <w:t xml:space="preserve">data </w:t>
      </w:r>
      <w:r w:rsidR="00297732">
        <w:t>validation flags</w:t>
      </w:r>
      <w:r w:rsidRPr="002C7E90">
        <w:t xml:space="preserve"> explaining why they have not changed </w:t>
      </w:r>
      <w:r w:rsidR="002874E2">
        <w:t>certain</w:t>
      </w:r>
      <w:r w:rsidRPr="002C7E90">
        <w:t xml:space="preserve"> values that have generated data validation flags. The </w:t>
      </w:r>
      <w:r w:rsidR="006F2555" w:rsidRPr="006F2555">
        <w:rPr>
          <w:i/>
        </w:rPr>
        <w:t>Data</w:t>
      </w:r>
      <w:r w:rsidR="003F10D2" w:rsidRPr="006F2555">
        <w:rPr>
          <w:i/>
        </w:rPr>
        <w:t xml:space="preserve"> </w:t>
      </w:r>
      <w:r w:rsidR="006F2555" w:rsidRPr="006F2555">
        <w:rPr>
          <w:i/>
        </w:rPr>
        <w:t>Receiver</w:t>
      </w:r>
      <w:r w:rsidRPr="002C7E90">
        <w:t xml:space="preserve"> can then decide whether to accept or exclude the data the validation flags relate to.</w:t>
      </w:r>
      <w:r w:rsidRPr="002C7E90">
        <w:cr/>
      </w:r>
      <w:r w:rsidRPr="002C7E90">
        <w:cr/>
        <w:t xml:space="preserve">This </w:t>
      </w:r>
      <w:r w:rsidR="003F10D2">
        <w:t>section of the document</w:t>
      </w:r>
      <w:r w:rsidRPr="002C7E90">
        <w:t xml:space="preserve"> will show you how to accept data with outstanding </w:t>
      </w:r>
      <w:r w:rsidR="006867A5">
        <w:t xml:space="preserve">data </w:t>
      </w:r>
      <w:r w:rsidRPr="002C7E90">
        <w:t>validation flags</w:t>
      </w:r>
      <w:r w:rsidR="003F10D2">
        <w:t xml:space="preserve"> or comments</w:t>
      </w:r>
      <w:r w:rsidRPr="002C7E90">
        <w:t>. Even though we do not cover exclusions in this demonstration, the process to exclude data is the same as the process demonstrated here.</w:t>
      </w:r>
    </w:p>
    <w:p w14:paraId="64855339" w14:textId="77777777" w:rsidR="002C7E90" w:rsidRDefault="002C7E90" w:rsidP="003F10D2">
      <w:pPr>
        <w:pStyle w:val="ListParagraph"/>
        <w:numPr>
          <w:ilvl w:val="0"/>
          <w:numId w:val="36"/>
        </w:numPr>
      </w:pPr>
      <w:r>
        <w:t xml:space="preserve">We will open the form by selecting the </w:t>
      </w:r>
      <w:r w:rsidR="003F10D2">
        <w:t xml:space="preserve">applicable </w:t>
      </w:r>
      <w:r>
        <w:rPr>
          <w:b/>
        </w:rPr>
        <w:t xml:space="preserve">Open Form </w:t>
      </w:r>
      <w:r>
        <w:t xml:space="preserve">button. </w:t>
      </w:r>
    </w:p>
    <w:p w14:paraId="69D6B128" w14:textId="77777777" w:rsidR="002C7E90" w:rsidRDefault="002C7E90" w:rsidP="003F10D2">
      <w:r w:rsidRPr="002C7E90">
        <w:t>Any indicators</w:t>
      </w:r>
      <w:r w:rsidR="003F10D2">
        <w:t>/tabs</w:t>
      </w:r>
      <w:r w:rsidRPr="002C7E90">
        <w:t xml:space="preserve"> still containing</w:t>
      </w:r>
      <w:r w:rsidR="006867A5">
        <w:t xml:space="preserve"> data</w:t>
      </w:r>
      <w:r w:rsidRPr="002C7E90">
        <w:t xml:space="preserve"> validation flags and/or comments will be identified with a </w:t>
      </w:r>
      <w:r w:rsidR="00297732">
        <w:t>red triangle</w:t>
      </w:r>
      <w:r w:rsidRPr="002C7E90">
        <w:t xml:space="preserve">. </w:t>
      </w:r>
    </w:p>
    <w:p w14:paraId="6C574A9B" w14:textId="77777777" w:rsidR="002C7E90" w:rsidRDefault="00173D6D" w:rsidP="003F10D2">
      <w:pPr>
        <w:pStyle w:val="ListParagraph"/>
        <w:numPr>
          <w:ilvl w:val="0"/>
          <w:numId w:val="36"/>
        </w:numPr>
      </w:pPr>
      <w:r>
        <w:t>You should</w:t>
      </w:r>
      <w:r w:rsidR="002C7E90">
        <w:t xml:space="preserve"> select the indicator</w:t>
      </w:r>
      <w:r w:rsidR="003F10D2">
        <w:t>/tab</w:t>
      </w:r>
      <w:r w:rsidR="002C7E90">
        <w:t xml:space="preserve"> </w:t>
      </w:r>
      <w:r>
        <w:t>containing the</w:t>
      </w:r>
      <w:r w:rsidR="002C7E90">
        <w:t xml:space="preserve"> issue. </w:t>
      </w:r>
    </w:p>
    <w:p w14:paraId="6BD61EE8" w14:textId="0103EA18" w:rsidR="002C7E90" w:rsidRPr="002C7E90" w:rsidRDefault="0095084E" w:rsidP="003F10D2">
      <w:r>
        <w:t>You can</w:t>
      </w:r>
      <w:r w:rsidR="002C7E90" w:rsidRPr="002C7E90">
        <w:t xml:space="preserve"> see the comment, and </w:t>
      </w:r>
      <w:r w:rsidR="002874E2" w:rsidRPr="002C7E90">
        <w:t>decide</w:t>
      </w:r>
      <w:r w:rsidR="002C7E90" w:rsidRPr="002C7E90">
        <w:t xml:space="preserve"> about acceptance or exclusion, </w:t>
      </w:r>
      <w:r>
        <w:t xml:space="preserve">in the </w:t>
      </w:r>
      <w:r w:rsidRPr="006F2555">
        <w:rPr>
          <w:i/>
        </w:rPr>
        <w:t>Notifications</w:t>
      </w:r>
      <w:r>
        <w:t xml:space="preserve"> </w:t>
      </w:r>
      <w:r w:rsidR="006F2555" w:rsidRPr="006F2555">
        <w:rPr>
          <w:i/>
        </w:rPr>
        <w:t>Tray</w:t>
      </w:r>
      <w:r>
        <w:t xml:space="preserve"> on the right-hand side of the screen</w:t>
      </w:r>
      <w:r w:rsidR="002C7E90" w:rsidRPr="002C7E90">
        <w:t>.</w:t>
      </w:r>
    </w:p>
    <w:p w14:paraId="106C9B34" w14:textId="17A27C64" w:rsidR="002C7E90" w:rsidRDefault="002C7E90" w:rsidP="003F10D2">
      <w:pPr>
        <w:pStyle w:val="ListParagraph"/>
        <w:numPr>
          <w:ilvl w:val="0"/>
          <w:numId w:val="36"/>
        </w:numPr>
      </w:pPr>
      <w:r w:rsidRPr="002C7E90">
        <w:t xml:space="preserve">Once you have read the comment left by the </w:t>
      </w:r>
      <w:r w:rsidR="000C5E3D">
        <w:t>h</w:t>
      </w:r>
      <w:r w:rsidRPr="002C7E90">
        <w:t xml:space="preserve">ealth </w:t>
      </w:r>
      <w:r w:rsidR="000C5E3D">
        <w:t>s</w:t>
      </w:r>
      <w:r w:rsidRPr="002C7E90">
        <w:t>ervice on the indicator</w:t>
      </w:r>
      <w:r w:rsidR="003F10D2">
        <w:t>/tab</w:t>
      </w:r>
      <w:r w:rsidRPr="002C7E90">
        <w:t xml:space="preserve">, select the </w:t>
      </w:r>
      <w:r w:rsidRPr="00173D6D">
        <w:rPr>
          <w:b/>
        </w:rPr>
        <w:t>Mark as Complete</w:t>
      </w:r>
      <w:r w:rsidRPr="002C7E90">
        <w:t xml:space="preserve"> button.</w:t>
      </w:r>
    </w:p>
    <w:p w14:paraId="318AC32D" w14:textId="77777777" w:rsidR="002C7E90" w:rsidRDefault="002C7E90" w:rsidP="003F10D2">
      <w:pPr>
        <w:pStyle w:val="ListParagraph"/>
        <w:numPr>
          <w:ilvl w:val="0"/>
          <w:numId w:val="36"/>
        </w:numPr>
      </w:pPr>
      <w:r w:rsidRPr="002C7E90">
        <w:t xml:space="preserve">Select the down arrow in the </w:t>
      </w:r>
      <w:r w:rsidRPr="00173D6D">
        <w:rPr>
          <w:b/>
        </w:rPr>
        <w:t>Reason</w:t>
      </w:r>
      <w:r w:rsidRPr="002C7E90">
        <w:t xml:space="preserve"> field.</w:t>
      </w:r>
    </w:p>
    <w:p w14:paraId="336E7269" w14:textId="77777777" w:rsidR="002C7E90" w:rsidRDefault="002C7E90" w:rsidP="003F10D2">
      <w:r w:rsidRPr="002C7E90">
        <w:t>In the reason drop down lis</w:t>
      </w:r>
      <w:r>
        <w:t>t, there are three options:</w:t>
      </w:r>
    </w:p>
    <w:p w14:paraId="2F27F08D" w14:textId="77777777" w:rsidR="002C7E90" w:rsidRDefault="002C7E90" w:rsidP="003F10D2">
      <w:pPr>
        <w:pStyle w:val="ListParagraph"/>
        <w:numPr>
          <w:ilvl w:val="0"/>
          <w:numId w:val="38"/>
        </w:numPr>
      </w:pPr>
      <w:r>
        <w:t>Completed, all data accepted</w:t>
      </w:r>
    </w:p>
    <w:p w14:paraId="2A4412DD" w14:textId="77777777" w:rsidR="002C7E90" w:rsidRDefault="002C7E90" w:rsidP="003F10D2">
      <w:pPr>
        <w:pStyle w:val="ListParagraph"/>
        <w:numPr>
          <w:ilvl w:val="0"/>
          <w:numId w:val="38"/>
        </w:numPr>
      </w:pPr>
      <w:r w:rsidRPr="002C7E90">
        <w:t>Completed, data exclud</w:t>
      </w:r>
      <w:r>
        <w:t>ed from national reporting only</w:t>
      </w:r>
    </w:p>
    <w:p w14:paraId="10946043" w14:textId="77777777" w:rsidR="002C7E90" w:rsidRDefault="002C7E90" w:rsidP="003F10D2">
      <w:pPr>
        <w:pStyle w:val="ListParagraph"/>
        <w:numPr>
          <w:ilvl w:val="0"/>
          <w:numId w:val="38"/>
        </w:numPr>
      </w:pPr>
      <w:r w:rsidRPr="002C7E90">
        <w:t>Completed, data excluded from organisatio</w:t>
      </w:r>
      <w:r>
        <w:t>n level and national reporting</w:t>
      </w:r>
      <w:r>
        <w:cr/>
      </w:r>
    </w:p>
    <w:p w14:paraId="273D91C1" w14:textId="77777777" w:rsidR="002C7E90" w:rsidRDefault="00041AF7" w:rsidP="003F10D2">
      <w:pPr>
        <w:pStyle w:val="ListParagraph"/>
        <w:numPr>
          <w:ilvl w:val="0"/>
          <w:numId w:val="36"/>
        </w:numPr>
      </w:pPr>
      <w:r>
        <w:t xml:space="preserve">To continue, select </w:t>
      </w:r>
      <w:r w:rsidR="002C7E90" w:rsidRPr="00CB28B6">
        <w:rPr>
          <w:b/>
        </w:rPr>
        <w:t>Completed, all data accepted</w:t>
      </w:r>
      <w:r w:rsidR="002C7E90" w:rsidRPr="002C7E90">
        <w:t>.</w:t>
      </w:r>
    </w:p>
    <w:p w14:paraId="000D616C" w14:textId="77777777" w:rsidR="002C7E90" w:rsidRDefault="00BE5C3F" w:rsidP="003F10D2">
      <w:r w:rsidRPr="00BE5C3F">
        <w:rPr>
          <w:b/>
        </w:rPr>
        <w:t>Note:</w:t>
      </w:r>
      <w:r>
        <w:t xml:space="preserve"> </w:t>
      </w:r>
      <w:r w:rsidR="002C7E90" w:rsidRPr="002C7E90">
        <w:t>It is best practice to include an explanation for your decision in th</w:t>
      </w:r>
      <w:r w:rsidR="002C7E90">
        <w:t xml:space="preserve">e </w:t>
      </w:r>
      <w:r w:rsidR="002C7E90" w:rsidRPr="002874E2">
        <w:rPr>
          <w:i/>
          <w:iCs/>
        </w:rPr>
        <w:t xml:space="preserve">Additional Information </w:t>
      </w:r>
      <w:r w:rsidR="002C7E90">
        <w:t>field.</w:t>
      </w:r>
    </w:p>
    <w:p w14:paraId="1C5F2A94" w14:textId="77777777" w:rsidR="002C7E90" w:rsidRDefault="002C7E90" w:rsidP="003F10D2">
      <w:pPr>
        <w:pStyle w:val="ListParagraph"/>
        <w:numPr>
          <w:ilvl w:val="0"/>
          <w:numId w:val="36"/>
        </w:numPr>
      </w:pPr>
      <w:r>
        <w:t xml:space="preserve">Select the </w:t>
      </w:r>
      <w:r>
        <w:rPr>
          <w:b/>
        </w:rPr>
        <w:t xml:space="preserve">Save </w:t>
      </w:r>
      <w:r>
        <w:t xml:space="preserve">button. </w:t>
      </w:r>
    </w:p>
    <w:p w14:paraId="09F1280B" w14:textId="1A7E668D" w:rsidR="00090A57" w:rsidRPr="002F7782" w:rsidRDefault="002C7E90" w:rsidP="003F10D2">
      <w:pPr>
        <w:rPr>
          <w:shd w:val="clear" w:color="auto" w:fill="FFFFFF"/>
        </w:rPr>
      </w:pPr>
      <w:r w:rsidRPr="002C7E90">
        <w:t xml:space="preserve">The comments you have just marked as complete will no longer appear and the </w:t>
      </w:r>
      <w:r w:rsidR="00297732">
        <w:t>red triangle</w:t>
      </w:r>
      <w:r w:rsidRPr="002C7E90">
        <w:t xml:space="preserve"> will be removed from the indicator’s tab on the</w:t>
      </w:r>
      <w:r w:rsidR="0032408B">
        <w:t xml:space="preserve"> </w:t>
      </w:r>
      <w:r w:rsidR="000C5E3D">
        <w:t>left-hand</w:t>
      </w:r>
      <w:r w:rsidR="0032408B">
        <w:t xml:space="preserve"> side of the screen.</w:t>
      </w:r>
      <w:r w:rsidR="0032408B">
        <w:cr/>
      </w:r>
      <w:r w:rsidRPr="002C7E90">
        <w:t xml:space="preserve">To see the comments you have just made, </w:t>
      </w:r>
      <w:r w:rsidR="0095084E">
        <w:t xml:space="preserve">select the </w:t>
      </w:r>
      <w:r w:rsidR="0095084E" w:rsidRPr="00BE5C3F">
        <w:rPr>
          <w:i/>
        </w:rPr>
        <w:t>Notification Options</w:t>
      </w:r>
      <w:r w:rsidR="0095084E">
        <w:t xml:space="preserve"> down arrow in the </w:t>
      </w:r>
      <w:r w:rsidR="0095084E" w:rsidRPr="006F2555">
        <w:rPr>
          <w:i/>
        </w:rPr>
        <w:t>Notifications</w:t>
      </w:r>
      <w:r w:rsidR="0095084E">
        <w:t xml:space="preserve"> </w:t>
      </w:r>
      <w:r w:rsidR="006F2555" w:rsidRPr="006F2555">
        <w:rPr>
          <w:i/>
        </w:rPr>
        <w:t>Tray</w:t>
      </w:r>
      <w:r w:rsidR="0095084E">
        <w:t xml:space="preserve"> and</w:t>
      </w:r>
      <w:r w:rsidRPr="002C7E90">
        <w:t xml:space="preserve"> select </w:t>
      </w:r>
      <w:r w:rsidRPr="00BE5C3F">
        <w:rPr>
          <w:i/>
        </w:rPr>
        <w:t>Show Completed comments</w:t>
      </w:r>
      <w:r w:rsidRPr="002C7E90">
        <w:t>.</w:t>
      </w:r>
      <w:r w:rsidRPr="002C7E90">
        <w:cr/>
      </w:r>
    </w:p>
    <w:sectPr w:rsidR="00090A57" w:rsidRPr="002F7782"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13E8" w14:textId="77777777" w:rsidR="00BF2ABA" w:rsidRDefault="00BF2ABA" w:rsidP="003F10D2">
      <w:r>
        <w:separator/>
      </w:r>
    </w:p>
  </w:endnote>
  <w:endnote w:type="continuationSeparator" w:id="0">
    <w:p w14:paraId="7E83C0B0" w14:textId="77777777" w:rsidR="00BF2ABA" w:rsidRDefault="00BF2ABA" w:rsidP="003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D795" w14:textId="77777777" w:rsidR="004B13B6" w:rsidRDefault="004B13B6" w:rsidP="003F10D2">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63025">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63025">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908B" w14:textId="77777777" w:rsidR="00BF2ABA" w:rsidRDefault="00BF2ABA" w:rsidP="003F10D2">
      <w:r>
        <w:separator/>
      </w:r>
    </w:p>
  </w:footnote>
  <w:footnote w:type="continuationSeparator" w:id="0">
    <w:p w14:paraId="272FB050" w14:textId="77777777" w:rsidR="00BF2ABA" w:rsidRDefault="00BF2ABA" w:rsidP="003F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6D9"/>
    <w:multiLevelType w:val="hybridMultilevel"/>
    <w:tmpl w:val="66FA0FA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951B22"/>
    <w:multiLevelType w:val="hybridMultilevel"/>
    <w:tmpl w:val="D6784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7121A"/>
    <w:multiLevelType w:val="hybridMultilevel"/>
    <w:tmpl w:val="B30EB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F800A7"/>
    <w:multiLevelType w:val="hybridMultilevel"/>
    <w:tmpl w:val="56D6B34A"/>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456470"/>
    <w:multiLevelType w:val="hybridMultilevel"/>
    <w:tmpl w:val="716C9D20"/>
    <w:lvl w:ilvl="0" w:tplc="C56A0C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1F0222"/>
    <w:multiLevelType w:val="hybridMultilevel"/>
    <w:tmpl w:val="0CE8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C739DB"/>
    <w:multiLevelType w:val="hybridMultilevel"/>
    <w:tmpl w:val="95C2979C"/>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28A5746"/>
    <w:multiLevelType w:val="hybridMultilevel"/>
    <w:tmpl w:val="D02A6D9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1A137E"/>
    <w:multiLevelType w:val="hybridMultilevel"/>
    <w:tmpl w:val="0E2E3A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28399E"/>
    <w:multiLevelType w:val="hybridMultilevel"/>
    <w:tmpl w:val="979E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78484F"/>
    <w:multiLevelType w:val="hybridMultilevel"/>
    <w:tmpl w:val="7B109E12"/>
    <w:lvl w:ilvl="0" w:tplc="A02AF0B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F9508F"/>
    <w:multiLevelType w:val="hybridMultilevel"/>
    <w:tmpl w:val="B498A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4C43F2"/>
    <w:multiLevelType w:val="hybridMultilevel"/>
    <w:tmpl w:val="D3FAAE20"/>
    <w:lvl w:ilvl="0" w:tplc="C56A0C3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E3E5D2E"/>
    <w:multiLevelType w:val="hybridMultilevel"/>
    <w:tmpl w:val="94E6A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31"/>
  </w:num>
  <w:num w:numId="3">
    <w:abstractNumId w:val="11"/>
  </w:num>
  <w:num w:numId="4">
    <w:abstractNumId w:val="1"/>
  </w:num>
  <w:num w:numId="5">
    <w:abstractNumId w:val="29"/>
  </w:num>
  <w:num w:numId="6">
    <w:abstractNumId w:val="16"/>
  </w:num>
  <w:num w:numId="7">
    <w:abstractNumId w:val="37"/>
  </w:num>
  <w:num w:numId="8">
    <w:abstractNumId w:val="5"/>
  </w:num>
  <w:num w:numId="9">
    <w:abstractNumId w:val="25"/>
  </w:num>
  <w:num w:numId="10">
    <w:abstractNumId w:val="26"/>
  </w:num>
  <w:num w:numId="11">
    <w:abstractNumId w:val="19"/>
  </w:num>
  <w:num w:numId="12">
    <w:abstractNumId w:val="10"/>
  </w:num>
  <w:num w:numId="13">
    <w:abstractNumId w:val="30"/>
  </w:num>
  <w:num w:numId="14">
    <w:abstractNumId w:val="15"/>
  </w:num>
  <w:num w:numId="15">
    <w:abstractNumId w:val="4"/>
  </w:num>
  <w:num w:numId="16">
    <w:abstractNumId w:val="17"/>
  </w:num>
  <w:num w:numId="17">
    <w:abstractNumId w:val="9"/>
  </w:num>
  <w:num w:numId="18">
    <w:abstractNumId w:val="12"/>
  </w:num>
  <w:num w:numId="19">
    <w:abstractNumId w:val="6"/>
  </w:num>
  <w:num w:numId="20">
    <w:abstractNumId w:val="32"/>
  </w:num>
  <w:num w:numId="21">
    <w:abstractNumId w:val="27"/>
  </w:num>
  <w:num w:numId="22">
    <w:abstractNumId w:val="3"/>
  </w:num>
  <w:num w:numId="23">
    <w:abstractNumId w:val="7"/>
  </w:num>
  <w:num w:numId="24">
    <w:abstractNumId w:val="18"/>
  </w:num>
  <w:num w:numId="25">
    <w:abstractNumId w:val="14"/>
  </w:num>
  <w:num w:numId="26">
    <w:abstractNumId w:val="20"/>
  </w:num>
  <w:num w:numId="27">
    <w:abstractNumId w:val="33"/>
  </w:num>
  <w:num w:numId="28">
    <w:abstractNumId w:val="35"/>
  </w:num>
  <w:num w:numId="29">
    <w:abstractNumId w:val="13"/>
  </w:num>
  <w:num w:numId="30">
    <w:abstractNumId w:val="24"/>
  </w:num>
  <w:num w:numId="31">
    <w:abstractNumId w:val="28"/>
  </w:num>
  <w:num w:numId="32">
    <w:abstractNumId w:val="34"/>
  </w:num>
  <w:num w:numId="33">
    <w:abstractNumId w:val="22"/>
  </w:num>
  <w:num w:numId="34">
    <w:abstractNumId w:val="8"/>
  </w:num>
  <w:num w:numId="35">
    <w:abstractNumId w:val="36"/>
  </w:num>
  <w:num w:numId="36">
    <w:abstractNumId w:val="2"/>
  </w:num>
  <w:num w:numId="37">
    <w:abstractNumId w:val="23"/>
  </w:num>
  <w:num w:numId="3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07"/>
    <w:rsid w:val="000026C3"/>
    <w:rsid w:val="00012C60"/>
    <w:rsid w:val="00022660"/>
    <w:rsid w:val="000359EF"/>
    <w:rsid w:val="000400C8"/>
    <w:rsid w:val="00041AF7"/>
    <w:rsid w:val="00044C4F"/>
    <w:rsid w:val="00046BC9"/>
    <w:rsid w:val="000536FE"/>
    <w:rsid w:val="0006729D"/>
    <w:rsid w:val="00072A22"/>
    <w:rsid w:val="00074985"/>
    <w:rsid w:val="00090A57"/>
    <w:rsid w:val="00092925"/>
    <w:rsid w:val="000A204C"/>
    <w:rsid w:val="000B16B3"/>
    <w:rsid w:val="000B2561"/>
    <w:rsid w:val="000B2617"/>
    <w:rsid w:val="000C00C7"/>
    <w:rsid w:val="000C0550"/>
    <w:rsid w:val="000C5E3D"/>
    <w:rsid w:val="000C5F35"/>
    <w:rsid w:val="000D4937"/>
    <w:rsid w:val="000D4ECE"/>
    <w:rsid w:val="000D6E88"/>
    <w:rsid w:val="00102222"/>
    <w:rsid w:val="001139A1"/>
    <w:rsid w:val="001258F0"/>
    <w:rsid w:val="00131432"/>
    <w:rsid w:val="0013544F"/>
    <w:rsid w:val="001378D5"/>
    <w:rsid w:val="00141621"/>
    <w:rsid w:val="00142CBC"/>
    <w:rsid w:val="00143BF6"/>
    <w:rsid w:val="00145C89"/>
    <w:rsid w:val="00155608"/>
    <w:rsid w:val="001562A3"/>
    <w:rsid w:val="00162BD9"/>
    <w:rsid w:val="00164D0B"/>
    <w:rsid w:val="00165F87"/>
    <w:rsid w:val="00172A18"/>
    <w:rsid w:val="00173D6D"/>
    <w:rsid w:val="00176B39"/>
    <w:rsid w:val="00186FFD"/>
    <w:rsid w:val="00187F05"/>
    <w:rsid w:val="00191261"/>
    <w:rsid w:val="00193F3F"/>
    <w:rsid w:val="00195502"/>
    <w:rsid w:val="001A04F9"/>
    <w:rsid w:val="001A05F3"/>
    <w:rsid w:val="001A1BAE"/>
    <w:rsid w:val="001A2C8D"/>
    <w:rsid w:val="001A718D"/>
    <w:rsid w:val="001C05B1"/>
    <w:rsid w:val="001C0683"/>
    <w:rsid w:val="001C2AC9"/>
    <w:rsid w:val="001D4252"/>
    <w:rsid w:val="001E4082"/>
    <w:rsid w:val="001F4B9B"/>
    <w:rsid w:val="00210573"/>
    <w:rsid w:val="00214987"/>
    <w:rsid w:val="00226773"/>
    <w:rsid w:val="002369CB"/>
    <w:rsid w:val="00244E71"/>
    <w:rsid w:val="00251D15"/>
    <w:rsid w:val="00253564"/>
    <w:rsid w:val="002537D9"/>
    <w:rsid w:val="00271BF9"/>
    <w:rsid w:val="00281728"/>
    <w:rsid w:val="0028357E"/>
    <w:rsid w:val="002874E2"/>
    <w:rsid w:val="00290693"/>
    <w:rsid w:val="002920E2"/>
    <w:rsid w:val="00297732"/>
    <w:rsid w:val="002A71B5"/>
    <w:rsid w:val="002B0CC8"/>
    <w:rsid w:val="002B1375"/>
    <w:rsid w:val="002B2BEA"/>
    <w:rsid w:val="002B60FA"/>
    <w:rsid w:val="002B6707"/>
    <w:rsid w:val="002C7E90"/>
    <w:rsid w:val="002E2E20"/>
    <w:rsid w:val="002E7A69"/>
    <w:rsid w:val="002F2D4C"/>
    <w:rsid w:val="002F7782"/>
    <w:rsid w:val="00300868"/>
    <w:rsid w:val="003030C0"/>
    <w:rsid w:val="00311427"/>
    <w:rsid w:val="0031150B"/>
    <w:rsid w:val="00317834"/>
    <w:rsid w:val="00321306"/>
    <w:rsid w:val="0032258E"/>
    <w:rsid w:val="0032408B"/>
    <w:rsid w:val="00335DC5"/>
    <w:rsid w:val="00340EF2"/>
    <w:rsid w:val="00342FAB"/>
    <w:rsid w:val="00353AA8"/>
    <w:rsid w:val="00357B59"/>
    <w:rsid w:val="00366301"/>
    <w:rsid w:val="00367FC9"/>
    <w:rsid w:val="00374F04"/>
    <w:rsid w:val="00376E7F"/>
    <w:rsid w:val="00385DD1"/>
    <w:rsid w:val="00386BD1"/>
    <w:rsid w:val="003934B5"/>
    <w:rsid w:val="00394E77"/>
    <w:rsid w:val="003A7DB8"/>
    <w:rsid w:val="003B119D"/>
    <w:rsid w:val="003B4142"/>
    <w:rsid w:val="003C30C2"/>
    <w:rsid w:val="003C6F0E"/>
    <w:rsid w:val="003D01BA"/>
    <w:rsid w:val="003D1461"/>
    <w:rsid w:val="003F10D2"/>
    <w:rsid w:val="003F3102"/>
    <w:rsid w:val="003F427D"/>
    <w:rsid w:val="003F7FF4"/>
    <w:rsid w:val="00406515"/>
    <w:rsid w:val="00414032"/>
    <w:rsid w:val="00415354"/>
    <w:rsid w:val="004275B1"/>
    <w:rsid w:val="004314D4"/>
    <w:rsid w:val="004330C1"/>
    <w:rsid w:val="00436228"/>
    <w:rsid w:val="00437BBB"/>
    <w:rsid w:val="00444EE5"/>
    <w:rsid w:val="00446735"/>
    <w:rsid w:val="004477C0"/>
    <w:rsid w:val="00463BF0"/>
    <w:rsid w:val="004667D7"/>
    <w:rsid w:val="004744A3"/>
    <w:rsid w:val="0049620E"/>
    <w:rsid w:val="004A71CA"/>
    <w:rsid w:val="004B0301"/>
    <w:rsid w:val="004B0963"/>
    <w:rsid w:val="004B13B6"/>
    <w:rsid w:val="004B456C"/>
    <w:rsid w:val="004B780C"/>
    <w:rsid w:val="004C1474"/>
    <w:rsid w:val="004C215B"/>
    <w:rsid w:val="004E601E"/>
    <w:rsid w:val="004E699B"/>
    <w:rsid w:val="004E77C0"/>
    <w:rsid w:val="004F2465"/>
    <w:rsid w:val="004F3B76"/>
    <w:rsid w:val="004F4406"/>
    <w:rsid w:val="005004D0"/>
    <w:rsid w:val="00515E9B"/>
    <w:rsid w:val="00521262"/>
    <w:rsid w:val="00531AED"/>
    <w:rsid w:val="005416BD"/>
    <w:rsid w:val="00544D4C"/>
    <w:rsid w:val="0056148F"/>
    <w:rsid w:val="00563025"/>
    <w:rsid w:val="00572197"/>
    <w:rsid w:val="005736A8"/>
    <w:rsid w:val="005843BD"/>
    <w:rsid w:val="00593DF0"/>
    <w:rsid w:val="005A27A2"/>
    <w:rsid w:val="005A7DD5"/>
    <w:rsid w:val="005C5175"/>
    <w:rsid w:val="005D07F1"/>
    <w:rsid w:val="005D2948"/>
    <w:rsid w:val="005D54AA"/>
    <w:rsid w:val="005D6CFE"/>
    <w:rsid w:val="005E00A6"/>
    <w:rsid w:val="006034FD"/>
    <w:rsid w:val="00604663"/>
    <w:rsid w:val="00633A1D"/>
    <w:rsid w:val="0063409B"/>
    <w:rsid w:val="0063485C"/>
    <w:rsid w:val="00636391"/>
    <w:rsid w:val="0065241F"/>
    <w:rsid w:val="006562FB"/>
    <w:rsid w:val="0066075E"/>
    <w:rsid w:val="00675E7A"/>
    <w:rsid w:val="006771F7"/>
    <w:rsid w:val="00685998"/>
    <w:rsid w:val="006867A5"/>
    <w:rsid w:val="00690F53"/>
    <w:rsid w:val="00692511"/>
    <w:rsid w:val="00695856"/>
    <w:rsid w:val="006A3CE0"/>
    <w:rsid w:val="006B0985"/>
    <w:rsid w:val="006B2F15"/>
    <w:rsid w:val="006B2F9A"/>
    <w:rsid w:val="006B736E"/>
    <w:rsid w:val="006D2B7E"/>
    <w:rsid w:val="006E3CD9"/>
    <w:rsid w:val="006E57F8"/>
    <w:rsid w:val="006F05DD"/>
    <w:rsid w:val="006F106C"/>
    <w:rsid w:val="006F2555"/>
    <w:rsid w:val="007034F3"/>
    <w:rsid w:val="007248E5"/>
    <w:rsid w:val="00732DD1"/>
    <w:rsid w:val="0075028F"/>
    <w:rsid w:val="00752D09"/>
    <w:rsid w:val="007552F3"/>
    <w:rsid w:val="00755835"/>
    <w:rsid w:val="00761B2E"/>
    <w:rsid w:val="00761CB3"/>
    <w:rsid w:val="00767E1C"/>
    <w:rsid w:val="00773352"/>
    <w:rsid w:val="00783B7E"/>
    <w:rsid w:val="00786671"/>
    <w:rsid w:val="007925CA"/>
    <w:rsid w:val="0079596F"/>
    <w:rsid w:val="007A6502"/>
    <w:rsid w:val="007A773E"/>
    <w:rsid w:val="007B4CEC"/>
    <w:rsid w:val="007D7545"/>
    <w:rsid w:val="007E4FD5"/>
    <w:rsid w:val="007E64EE"/>
    <w:rsid w:val="007F5C18"/>
    <w:rsid w:val="008040B1"/>
    <w:rsid w:val="00816A5F"/>
    <w:rsid w:val="0083729E"/>
    <w:rsid w:val="008530AD"/>
    <w:rsid w:val="00855D4A"/>
    <w:rsid w:val="00857A65"/>
    <w:rsid w:val="00861DAD"/>
    <w:rsid w:val="0087002C"/>
    <w:rsid w:val="00872863"/>
    <w:rsid w:val="00874C20"/>
    <w:rsid w:val="00876307"/>
    <w:rsid w:val="008771BD"/>
    <w:rsid w:val="00877A64"/>
    <w:rsid w:val="008854E4"/>
    <w:rsid w:val="008870C0"/>
    <w:rsid w:val="008C0EA2"/>
    <w:rsid w:val="008C54D3"/>
    <w:rsid w:val="008C7E41"/>
    <w:rsid w:val="008D6978"/>
    <w:rsid w:val="008E3848"/>
    <w:rsid w:val="008E5A73"/>
    <w:rsid w:val="008F0F7B"/>
    <w:rsid w:val="008F589C"/>
    <w:rsid w:val="009001F5"/>
    <w:rsid w:val="009116A7"/>
    <w:rsid w:val="0091455F"/>
    <w:rsid w:val="0092107A"/>
    <w:rsid w:val="00924576"/>
    <w:rsid w:val="00926071"/>
    <w:rsid w:val="0093460B"/>
    <w:rsid w:val="00937405"/>
    <w:rsid w:val="009406CA"/>
    <w:rsid w:val="0095084E"/>
    <w:rsid w:val="009566B1"/>
    <w:rsid w:val="00962C60"/>
    <w:rsid w:val="0097245E"/>
    <w:rsid w:val="00976FCF"/>
    <w:rsid w:val="00977868"/>
    <w:rsid w:val="0099173D"/>
    <w:rsid w:val="00993D1E"/>
    <w:rsid w:val="009A0222"/>
    <w:rsid w:val="009A0F96"/>
    <w:rsid w:val="009A14E0"/>
    <w:rsid w:val="009A7FFE"/>
    <w:rsid w:val="009B2809"/>
    <w:rsid w:val="009B7E29"/>
    <w:rsid w:val="009C0D64"/>
    <w:rsid w:val="009C2BE4"/>
    <w:rsid w:val="009D1465"/>
    <w:rsid w:val="009D554A"/>
    <w:rsid w:val="009E754B"/>
    <w:rsid w:val="00A0350E"/>
    <w:rsid w:val="00A052D4"/>
    <w:rsid w:val="00A111E6"/>
    <w:rsid w:val="00A14190"/>
    <w:rsid w:val="00A15BD7"/>
    <w:rsid w:val="00A16AAF"/>
    <w:rsid w:val="00A33AE8"/>
    <w:rsid w:val="00A426F2"/>
    <w:rsid w:val="00A62322"/>
    <w:rsid w:val="00A70B60"/>
    <w:rsid w:val="00A71A08"/>
    <w:rsid w:val="00A74885"/>
    <w:rsid w:val="00A77B99"/>
    <w:rsid w:val="00A81EC8"/>
    <w:rsid w:val="00A90BD7"/>
    <w:rsid w:val="00A90BFA"/>
    <w:rsid w:val="00AB03FF"/>
    <w:rsid w:val="00AB23C5"/>
    <w:rsid w:val="00AC5D6A"/>
    <w:rsid w:val="00AD7B6D"/>
    <w:rsid w:val="00AE3249"/>
    <w:rsid w:val="00AE5068"/>
    <w:rsid w:val="00AF7B57"/>
    <w:rsid w:val="00B024C3"/>
    <w:rsid w:val="00B176EF"/>
    <w:rsid w:val="00B21E50"/>
    <w:rsid w:val="00B34AF1"/>
    <w:rsid w:val="00B4145F"/>
    <w:rsid w:val="00B45FCE"/>
    <w:rsid w:val="00B66A9F"/>
    <w:rsid w:val="00B713EC"/>
    <w:rsid w:val="00B729EE"/>
    <w:rsid w:val="00B87DC2"/>
    <w:rsid w:val="00B94BF3"/>
    <w:rsid w:val="00BA0120"/>
    <w:rsid w:val="00BA33E4"/>
    <w:rsid w:val="00BA7137"/>
    <w:rsid w:val="00BB18EB"/>
    <w:rsid w:val="00BB3142"/>
    <w:rsid w:val="00BB402E"/>
    <w:rsid w:val="00BC0211"/>
    <w:rsid w:val="00BC186E"/>
    <w:rsid w:val="00BC7018"/>
    <w:rsid w:val="00BD3E50"/>
    <w:rsid w:val="00BD6A7E"/>
    <w:rsid w:val="00BE5C3F"/>
    <w:rsid w:val="00BE61FD"/>
    <w:rsid w:val="00BF2ABA"/>
    <w:rsid w:val="00BF6002"/>
    <w:rsid w:val="00C0059D"/>
    <w:rsid w:val="00C01829"/>
    <w:rsid w:val="00C1364A"/>
    <w:rsid w:val="00C21463"/>
    <w:rsid w:val="00C50DAC"/>
    <w:rsid w:val="00C5186A"/>
    <w:rsid w:val="00C579AF"/>
    <w:rsid w:val="00C741FC"/>
    <w:rsid w:val="00C87B6D"/>
    <w:rsid w:val="00C90894"/>
    <w:rsid w:val="00C92658"/>
    <w:rsid w:val="00C93446"/>
    <w:rsid w:val="00C93E31"/>
    <w:rsid w:val="00C952F4"/>
    <w:rsid w:val="00C96707"/>
    <w:rsid w:val="00CB0E8F"/>
    <w:rsid w:val="00CB1F29"/>
    <w:rsid w:val="00CB28B6"/>
    <w:rsid w:val="00CB3C5B"/>
    <w:rsid w:val="00CD4F97"/>
    <w:rsid w:val="00CD6D0A"/>
    <w:rsid w:val="00CE5C2E"/>
    <w:rsid w:val="00CF3858"/>
    <w:rsid w:val="00D04ECB"/>
    <w:rsid w:val="00D12998"/>
    <w:rsid w:val="00D406B4"/>
    <w:rsid w:val="00D4087F"/>
    <w:rsid w:val="00D61E2F"/>
    <w:rsid w:val="00D6734B"/>
    <w:rsid w:val="00D70F1B"/>
    <w:rsid w:val="00D71C54"/>
    <w:rsid w:val="00D72072"/>
    <w:rsid w:val="00D76B74"/>
    <w:rsid w:val="00D829D4"/>
    <w:rsid w:val="00D9290E"/>
    <w:rsid w:val="00D92A24"/>
    <w:rsid w:val="00D939C1"/>
    <w:rsid w:val="00DB3A38"/>
    <w:rsid w:val="00DC2B71"/>
    <w:rsid w:val="00DC506F"/>
    <w:rsid w:val="00DC6F95"/>
    <w:rsid w:val="00DD15DD"/>
    <w:rsid w:val="00DE5503"/>
    <w:rsid w:val="00DE7AD3"/>
    <w:rsid w:val="00DF332D"/>
    <w:rsid w:val="00DF3DE1"/>
    <w:rsid w:val="00E0041F"/>
    <w:rsid w:val="00E2373F"/>
    <w:rsid w:val="00E23BEB"/>
    <w:rsid w:val="00E40E91"/>
    <w:rsid w:val="00E47832"/>
    <w:rsid w:val="00E60C05"/>
    <w:rsid w:val="00E63375"/>
    <w:rsid w:val="00E63DAA"/>
    <w:rsid w:val="00E65529"/>
    <w:rsid w:val="00E71D8D"/>
    <w:rsid w:val="00E81BE5"/>
    <w:rsid w:val="00E82768"/>
    <w:rsid w:val="00E9530E"/>
    <w:rsid w:val="00E970BF"/>
    <w:rsid w:val="00EA3AAA"/>
    <w:rsid w:val="00EA476A"/>
    <w:rsid w:val="00EB268D"/>
    <w:rsid w:val="00EB59BB"/>
    <w:rsid w:val="00EC0B41"/>
    <w:rsid w:val="00EC16D5"/>
    <w:rsid w:val="00EF271C"/>
    <w:rsid w:val="00F03848"/>
    <w:rsid w:val="00F04072"/>
    <w:rsid w:val="00F13521"/>
    <w:rsid w:val="00F244A0"/>
    <w:rsid w:val="00F3688D"/>
    <w:rsid w:val="00F438F6"/>
    <w:rsid w:val="00F55ED9"/>
    <w:rsid w:val="00F61959"/>
    <w:rsid w:val="00F66D02"/>
    <w:rsid w:val="00F670E4"/>
    <w:rsid w:val="00F70789"/>
    <w:rsid w:val="00F726C7"/>
    <w:rsid w:val="00F75BE0"/>
    <w:rsid w:val="00F802AB"/>
    <w:rsid w:val="00F853EF"/>
    <w:rsid w:val="00F931F1"/>
    <w:rsid w:val="00F959A8"/>
    <w:rsid w:val="00FA1041"/>
    <w:rsid w:val="00FA5DB1"/>
    <w:rsid w:val="00FA688C"/>
    <w:rsid w:val="00FB131B"/>
    <w:rsid w:val="00FB3657"/>
    <w:rsid w:val="00FB4022"/>
    <w:rsid w:val="00FC335A"/>
    <w:rsid w:val="00FC38D0"/>
    <w:rsid w:val="00FC40B2"/>
    <w:rsid w:val="00FE2C1D"/>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A3B07"/>
  <w15:docId w15:val="{2CB1068E-CD08-4872-A2F6-324A2F18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D2"/>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FB25-A80E-4400-B191-F1260F3A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211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34</cp:revision>
  <cp:lastPrinted>1900-12-31T14:00:00Z</cp:lastPrinted>
  <dcterms:created xsi:type="dcterms:W3CDTF">2018-07-18T22:10:00Z</dcterms:created>
  <dcterms:modified xsi:type="dcterms:W3CDTF">2022-09-22T22:25:00Z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